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1FE79" w14:textId="77777777" w:rsidR="00A80FD7" w:rsidRPr="009F1DB2" w:rsidRDefault="00A80FD7" w:rsidP="00A80FD7">
      <w:pPr>
        <w:pStyle w:val="ListParagraph"/>
        <w:rPr>
          <w:rFonts w:ascii="Arial" w:hAnsi="Arial" w:cs="Arial"/>
          <w:szCs w:val="24"/>
        </w:rPr>
      </w:pPr>
    </w:p>
    <w:p w14:paraId="302C1CDC" w14:textId="2C5C33D7" w:rsidR="00A80FD7" w:rsidRPr="000E14C7" w:rsidRDefault="00D768A0" w:rsidP="00A80FD7">
      <w:pPr>
        <w:pStyle w:val="ListParagraph"/>
        <w:pBdr>
          <w:top w:val="single" w:sz="4" w:space="2" w:color="auto"/>
          <w:left w:val="single" w:sz="4" w:space="4" w:color="auto"/>
          <w:bottom w:val="single" w:sz="4" w:space="1" w:color="auto"/>
          <w:right w:val="single" w:sz="4" w:space="4" w:color="auto"/>
        </w:pBdr>
        <w:ind w:hanging="720"/>
        <w:rPr>
          <w:rFonts w:ascii="Arial Black" w:hAnsi="Arial Black" w:cs="Arial"/>
          <w:sz w:val="26"/>
          <w:szCs w:val="26"/>
        </w:rPr>
      </w:pPr>
      <w:r>
        <w:rPr>
          <w:rFonts w:ascii="Arial Black" w:hAnsi="Arial Black" w:cs="Arial"/>
          <w:sz w:val="26"/>
          <w:szCs w:val="26"/>
        </w:rPr>
        <w:t>2</w:t>
      </w:r>
      <w:r w:rsidRPr="00D768A0">
        <w:rPr>
          <w:rFonts w:ascii="Arial Black" w:hAnsi="Arial Black" w:cs="Arial"/>
          <w:sz w:val="26"/>
          <w:szCs w:val="26"/>
          <w:vertAlign w:val="superscript"/>
        </w:rPr>
        <w:t>nd</w:t>
      </w:r>
      <w:r>
        <w:rPr>
          <w:rFonts w:ascii="Arial Black" w:hAnsi="Arial Black" w:cs="Arial"/>
          <w:sz w:val="26"/>
          <w:szCs w:val="26"/>
        </w:rPr>
        <w:t xml:space="preserve"> Deposit Revised LDP</w:t>
      </w:r>
      <w:r w:rsidR="00A80FD7" w:rsidRPr="000E14C7">
        <w:rPr>
          <w:rFonts w:ascii="Arial Black" w:hAnsi="Arial Black" w:cs="Arial"/>
          <w:sz w:val="26"/>
          <w:szCs w:val="26"/>
        </w:rPr>
        <w:t xml:space="preserve"> – Commentary </w:t>
      </w:r>
    </w:p>
    <w:p w14:paraId="275BE08A" w14:textId="77777777" w:rsidR="00A80FD7" w:rsidRDefault="00A80FD7" w:rsidP="00A80FD7">
      <w:pPr>
        <w:pStyle w:val="ListParagraph"/>
        <w:rPr>
          <w:rFonts w:ascii="Arial" w:hAnsi="Arial" w:cs="Arial"/>
          <w:sz w:val="26"/>
          <w:szCs w:val="26"/>
        </w:rPr>
      </w:pPr>
    </w:p>
    <w:tbl>
      <w:tblPr>
        <w:tblStyle w:val="TableGrid"/>
        <w:tblW w:w="9867" w:type="dxa"/>
        <w:tblLook w:val="04A0" w:firstRow="1" w:lastRow="0" w:firstColumn="1" w:lastColumn="0" w:noHBand="0" w:noVBand="1"/>
      </w:tblPr>
      <w:tblGrid>
        <w:gridCol w:w="6771"/>
        <w:gridCol w:w="3096"/>
      </w:tblGrid>
      <w:tr w:rsidR="00A80FD7" w:rsidRPr="00B01682" w14:paraId="0E5FD5FE" w14:textId="77777777" w:rsidTr="00A4692F">
        <w:trPr>
          <w:tblHeader/>
        </w:trPr>
        <w:tc>
          <w:tcPr>
            <w:tcW w:w="6771" w:type="dxa"/>
          </w:tcPr>
          <w:p w14:paraId="0AC1E5F4" w14:textId="77777777" w:rsidR="00A80FD7" w:rsidRPr="00136607" w:rsidRDefault="00A80FD7" w:rsidP="00A4692F">
            <w:pPr>
              <w:pStyle w:val="BodyText"/>
              <w:jc w:val="left"/>
              <w:rPr>
                <w:rFonts w:ascii="Arial Black" w:hAnsi="Arial Black" w:cs="Arial"/>
                <w:sz w:val="26"/>
                <w:szCs w:val="26"/>
              </w:rPr>
            </w:pPr>
            <w:r w:rsidRPr="00136607">
              <w:rPr>
                <w:rFonts w:ascii="Arial Black" w:hAnsi="Arial Black" w:cs="Arial"/>
                <w:sz w:val="26"/>
                <w:szCs w:val="26"/>
              </w:rPr>
              <w:t xml:space="preserve">Reference and Comment </w:t>
            </w:r>
          </w:p>
        </w:tc>
        <w:tc>
          <w:tcPr>
            <w:tcW w:w="3096" w:type="dxa"/>
          </w:tcPr>
          <w:p w14:paraId="4B9F709F" w14:textId="77777777" w:rsidR="00A80FD7" w:rsidRDefault="00A80FD7" w:rsidP="00A4692F">
            <w:pPr>
              <w:pStyle w:val="BodyText"/>
              <w:rPr>
                <w:rFonts w:ascii="Arial Black" w:hAnsi="Arial Black" w:cs="Arial"/>
                <w:sz w:val="26"/>
                <w:szCs w:val="26"/>
              </w:rPr>
            </w:pPr>
            <w:r>
              <w:rPr>
                <w:rFonts w:ascii="Arial Black" w:hAnsi="Arial Black" w:cs="Arial"/>
                <w:sz w:val="26"/>
                <w:szCs w:val="26"/>
              </w:rPr>
              <w:t>S</w:t>
            </w:r>
            <w:r w:rsidRPr="00B01682">
              <w:rPr>
                <w:rFonts w:ascii="Arial Black" w:hAnsi="Arial Black" w:cs="Arial"/>
                <w:sz w:val="26"/>
                <w:szCs w:val="26"/>
              </w:rPr>
              <w:t>upport/Object/</w:t>
            </w:r>
          </w:p>
          <w:p w14:paraId="3EB05955" w14:textId="77777777" w:rsidR="00A80FD7" w:rsidRPr="00B01682" w:rsidRDefault="00A80FD7" w:rsidP="00A4692F">
            <w:pPr>
              <w:pStyle w:val="BodyText"/>
              <w:rPr>
                <w:rFonts w:ascii="Arial Black" w:hAnsi="Arial Black" w:cs="Arial"/>
                <w:sz w:val="26"/>
                <w:szCs w:val="26"/>
              </w:rPr>
            </w:pPr>
            <w:r w:rsidRPr="00B01682">
              <w:rPr>
                <w:rFonts w:ascii="Arial Black" w:hAnsi="Arial Black" w:cs="Arial"/>
                <w:sz w:val="26"/>
                <w:szCs w:val="26"/>
              </w:rPr>
              <w:t xml:space="preserve">Other </w:t>
            </w:r>
          </w:p>
        </w:tc>
      </w:tr>
      <w:tr w:rsidR="00A80FD7" w14:paraId="3A69BB64" w14:textId="77777777" w:rsidTr="00A4692F">
        <w:tc>
          <w:tcPr>
            <w:tcW w:w="6771" w:type="dxa"/>
            <w:tcBorders>
              <w:right w:val="nil"/>
            </w:tcBorders>
          </w:tcPr>
          <w:p w14:paraId="0DA12906" w14:textId="77777777" w:rsidR="00A80FD7" w:rsidRPr="00136607" w:rsidRDefault="00A80FD7" w:rsidP="00256A2D">
            <w:pPr>
              <w:pStyle w:val="BodyText"/>
              <w:numPr>
                <w:ilvl w:val="0"/>
                <w:numId w:val="2"/>
              </w:numPr>
              <w:jc w:val="left"/>
              <w:rPr>
                <w:rFonts w:ascii="Arial Black" w:hAnsi="Arial Black" w:cs="Arial"/>
                <w:sz w:val="26"/>
                <w:szCs w:val="26"/>
              </w:rPr>
            </w:pPr>
            <w:r w:rsidRPr="009870B8">
              <w:rPr>
                <w:rFonts w:ascii="Arial Black" w:hAnsi="Arial Black" w:cs="Arial"/>
                <w:sz w:val="26"/>
                <w:szCs w:val="26"/>
              </w:rPr>
              <w:t>Spatial Strategy</w:t>
            </w:r>
            <w:r w:rsidR="00CE28BC">
              <w:rPr>
                <w:rFonts w:ascii="Arial Black" w:hAnsi="Arial Black" w:cs="Arial"/>
                <w:sz w:val="26"/>
                <w:szCs w:val="26"/>
              </w:rPr>
              <w:t xml:space="preserve"> </w:t>
            </w:r>
            <w:r w:rsidR="00256A2D">
              <w:rPr>
                <w:rFonts w:ascii="Arial Black" w:hAnsi="Arial Black" w:cs="Arial"/>
                <w:sz w:val="26"/>
                <w:szCs w:val="26"/>
              </w:rPr>
              <w:t xml:space="preserve"> </w:t>
            </w:r>
          </w:p>
        </w:tc>
        <w:tc>
          <w:tcPr>
            <w:tcW w:w="3096" w:type="dxa"/>
            <w:tcBorders>
              <w:left w:val="nil"/>
            </w:tcBorders>
          </w:tcPr>
          <w:p w14:paraId="7AAF840C" w14:textId="77777777" w:rsidR="00A80FD7" w:rsidRDefault="00A80FD7" w:rsidP="00A4692F">
            <w:pPr>
              <w:pStyle w:val="BodyText"/>
              <w:jc w:val="left"/>
              <w:rPr>
                <w:rFonts w:ascii="Arial" w:hAnsi="Arial" w:cs="Arial"/>
                <w:sz w:val="26"/>
                <w:szCs w:val="26"/>
              </w:rPr>
            </w:pPr>
          </w:p>
        </w:tc>
      </w:tr>
      <w:tr w:rsidR="00A80FD7" w:rsidRPr="009F1DB2" w14:paraId="3B803057" w14:textId="77777777" w:rsidTr="00A4692F">
        <w:tc>
          <w:tcPr>
            <w:tcW w:w="6771" w:type="dxa"/>
          </w:tcPr>
          <w:p w14:paraId="0859B435" w14:textId="78BE2E04" w:rsidR="00A80FD7" w:rsidRPr="009F1DB2" w:rsidRDefault="00D96D7C" w:rsidP="00D36CC6">
            <w:pPr>
              <w:pStyle w:val="BodyText"/>
              <w:ind w:left="360"/>
              <w:jc w:val="left"/>
              <w:rPr>
                <w:rFonts w:ascii="Arial" w:hAnsi="Arial" w:cs="Arial"/>
                <w:szCs w:val="24"/>
              </w:rPr>
            </w:pPr>
            <w:r>
              <w:rPr>
                <w:rFonts w:ascii="Arial" w:hAnsi="Arial" w:cs="Arial"/>
                <w:szCs w:val="24"/>
              </w:rPr>
              <w:t xml:space="preserve">The </w:t>
            </w:r>
            <w:r w:rsidR="00D36CC6">
              <w:rPr>
                <w:rFonts w:ascii="Arial" w:hAnsi="Arial" w:cs="Arial"/>
                <w:szCs w:val="24"/>
              </w:rPr>
              <w:t xml:space="preserve">National Park Authority has no comment on the spatial strategy proposed. </w:t>
            </w:r>
            <w:r>
              <w:rPr>
                <w:rFonts w:ascii="Arial" w:hAnsi="Arial" w:cs="Arial"/>
                <w:szCs w:val="24"/>
              </w:rPr>
              <w:t xml:space="preserve"> </w:t>
            </w:r>
          </w:p>
          <w:p w14:paraId="74630834" w14:textId="77777777" w:rsidR="00A80FD7" w:rsidRPr="009F1DB2" w:rsidRDefault="00A80FD7" w:rsidP="00A4692F">
            <w:pPr>
              <w:pStyle w:val="BodyText"/>
              <w:ind w:left="360"/>
              <w:jc w:val="left"/>
              <w:rPr>
                <w:rFonts w:ascii="Arial" w:hAnsi="Arial" w:cs="Arial"/>
                <w:szCs w:val="24"/>
              </w:rPr>
            </w:pPr>
          </w:p>
          <w:p w14:paraId="163EA083" w14:textId="77777777" w:rsidR="00A80FD7" w:rsidRPr="009F1DB2" w:rsidRDefault="00A12D28" w:rsidP="00A4692F">
            <w:pPr>
              <w:pStyle w:val="BodyText"/>
              <w:ind w:left="360"/>
              <w:jc w:val="left"/>
              <w:rPr>
                <w:rFonts w:ascii="Arial" w:hAnsi="Arial" w:cs="Arial"/>
                <w:szCs w:val="24"/>
              </w:rPr>
            </w:pPr>
            <w:r>
              <w:rPr>
                <w:rFonts w:ascii="Arial" w:hAnsi="Arial" w:cs="Arial"/>
                <w:szCs w:val="24"/>
              </w:rPr>
              <w:t xml:space="preserve"> </w:t>
            </w:r>
          </w:p>
          <w:p w14:paraId="7BA09189" w14:textId="77777777" w:rsidR="00A80FD7" w:rsidRPr="009F1DB2" w:rsidRDefault="00A80FD7" w:rsidP="00A12D28">
            <w:pPr>
              <w:widowControl w:val="0"/>
              <w:spacing w:before="120" w:after="200"/>
              <w:ind w:left="360"/>
              <w:rPr>
                <w:rFonts w:ascii="Arial" w:hAnsi="Arial" w:cs="Arial"/>
                <w:szCs w:val="24"/>
              </w:rPr>
            </w:pPr>
          </w:p>
        </w:tc>
        <w:tc>
          <w:tcPr>
            <w:tcW w:w="3096" w:type="dxa"/>
          </w:tcPr>
          <w:p w14:paraId="5FAA8475" w14:textId="5F5CB84C" w:rsidR="00D36CC6" w:rsidRDefault="00D36CC6" w:rsidP="00A4692F">
            <w:pPr>
              <w:pStyle w:val="BodyText"/>
              <w:jc w:val="left"/>
              <w:rPr>
                <w:rFonts w:ascii="Arial Black" w:hAnsi="Arial Black" w:cs="Arial"/>
                <w:szCs w:val="24"/>
              </w:rPr>
            </w:pPr>
            <w:r>
              <w:rPr>
                <w:rFonts w:ascii="Arial Black" w:hAnsi="Arial Black" w:cs="Arial"/>
                <w:szCs w:val="24"/>
              </w:rPr>
              <w:t xml:space="preserve">No comment. </w:t>
            </w:r>
          </w:p>
          <w:p w14:paraId="4A1499B9" w14:textId="08285978" w:rsidR="00D34EE1" w:rsidRDefault="00D36CC6" w:rsidP="00A4692F">
            <w:pPr>
              <w:pStyle w:val="BodyText"/>
              <w:jc w:val="left"/>
              <w:rPr>
                <w:rFonts w:ascii="Arial" w:hAnsi="Arial" w:cs="Arial"/>
                <w:szCs w:val="24"/>
              </w:rPr>
            </w:pPr>
            <w:r>
              <w:rPr>
                <w:rFonts w:ascii="Arial Black" w:hAnsi="Arial Black" w:cs="Arial"/>
                <w:szCs w:val="24"/>
              </w:rPr>
              <w:t xml:space="preserve"> </w:t>
            </w:r>
          </w:p>
          <w:p w14:paraId="135A3C94" w14:textId="77777777" w:rsidR="00D34EE1" w:rsidRDefault="00D34EE1" w:rsidP="00A4692F">
            <w:pPr>
              <w:pStyle w:val="BodyText"/>
              <w:jc w:val="left"/>
              <w:rPr>
                <w:rFonts w:ascii="Arial" w:hAnsi="Arial" w:cs="Arial"/>
                <w:szCs w:val="24"/>
              </w:rPr>
            </w:pPr>
          </w:p>
          <w:p w14:paraId="07D2C29A" w14:textId="77777777" w:rsidR="00A80FD7" w:rsidRPr="009F1DB2" w:rsidRDefault="00A12D28" w:rsidP="00F04294">
            <w:pPr>
              <w:pStyle w:val="BodyText"/>
              <w:jc w:val="left"/>
              <w:rPr>
                <w:rFonts w:ascii="Arial" w:hAnsi="Arial" w:cs="Arial"/>
                <w:szCs w:val="24"/>
              </w:rPr>
            </w:pPr>
            <w:r>
              <w:rPr>
                <w:rFonts w:ascii="Arial" w:hAnsi="Arial" w:cs="Arial"/>
                <w:szCs w:val="24"/>
              </w:rPr>
              <w:t xml:space="preserve"> </w:t>
            </w:r>
            <w:r w:rsidR="00A80FD7" w:rsidRPr="009F1DB2">
              <w:rPr>
                <w:rFonts w:ascii="Arial" w:hAnsi="Arial" w:cs="Arial"/>
                <w:szCs w:val="24"/>
              </w:rPr>
              <w:t xml:space="preserve"> </w:t>
            </w:r>
          </w:p>
        </w:tc>
      </w:tr>
    </w:tbl>
    <w:p w14:paraId="3FCB3B65" w14:textId="77777777" w:rsidR="00E92C78" w:rsidRDefault="00E92C78"/>
    <w:p w14:paraId="354A1084" w14:textId="77777777" w:rsidR="00A80FD7" w:rsidRDefault="00A80FD7" w:rsidP="00A80FD7">
      <w:pPr>
        <w:widowControl w:val="0"/>
        <w:spacing w:before="120" w:after="200" w:line="360" w:lineRule="auto"/>
        <w:ind w:left="360"/>
        <w:rPr>
          <w:rFonts w:eastAsia="Arial"/>
          <w:w w:val="103"/>
          <w:highlight w:val="yellow"/>
        </w:rPr>
      </w:pPr>
    </w:p>
    <w:tbl>
      <w:tblPr>
        <w:tblStyle w:val="TableGrid"/>
        <w:tblW w:w="9867" w:type="dxa"/>
        <w:tblLook w:val="04A0" w:firstRow="1" w:lastRow="0" w:firstColumn="1" w:lastColumn="0" w:noHBand="0" w:noVBand="1"/>
      </w:tblPr>
      <w:tblGrid>
        <w:gridCol w:w="6771"/>
        <w:gridCol w:w="3096"/>
      </w:tblGrid>
      <w:tr w:rsidR="00A80FD7" w:rsidRPr="009F1DB2" w14:paraId="621BB9F2" w14:textId="77777777" w:rsidTr="00A4692F">
        <w:trPr>
          <w:tblHeader/>
        </w:trPr>
        <w:tc>
          <w:tcPr>
            <w:tcW w:w="6771" w:type="dxa"/>
          </w:tcPr>
          <w:p w14:paraId="756876BC" w14:textId="77777777" w:rsidR="00A80FD7" w:rsidRPr="009F1DB2" w:rsidRDefault="00A80FD7" w:rsidP="00A4692F">
            <w:pPr>
              <w:pStyle w:val="BodyText"/>
              <w:jc w:val="left"/>
              <w:rPr>
                <w:rFonts w:ascii="Arial Black" w:hAnsi="Arial Black" w:cs="Arial"/>
                <w:szCs w:val="24"/>
              </w:rPr>
            </w:pPr>
            <w:r w:rsidRPr="009F1DB2">
              <w:rPr>
                <w:rFonts w:ascii="Arial Black" w:hAnsi="Arial Black" w:cs="Arial"/>
                <w:szCs w:val="24"/>
              </w:rPr>
              <w:t xml:space="preserve">Reference and Comment </w:t>
            </w:r>
          </w:p>
        </w:tc>
        <w:tc>
          <w:tcPr>
            <w:tcW w:w="3096" w:type="dxa"/>
          </w:tcPr>
          <w:p w14:paraId="43A001E2" w14:textId="77777777" w:rsidR="00A80FD7" w:rsidRPr="009F1DB2" w:rsidRDefault="00A80FD7" w:rsidP="00A4692F">
            <w:pPr>
              <w:pStyle w:val="BodyText"/>
              <w:rPr>
                <w:rFonts w:ascii="Arial Black" w:hAnsi="Arial Black" w:cs="Arial"/>
                <w:szCs w:val="24"/>
              </w:rPr>
            </w:pPr>
            <w:r w:rsidRPr="009F1DB2">
              <w:rPr>
                <w:rFonts w:ascii="Arial Black" w:hAnsi="Arial Black" w:cs="Arial"/>
                <w:szCs w:val="24"/>
              </w:rPr>
              <w:t>Support/Object/</w:t>
            </w:r>
          </w:p>
          <w:p w14:paraId="6C75110B" w14:textId="77777777" w:rsidR="00A80FD7" w:rsidRPr="009F1DB2" w:rsidRDefault="00A80FD7" w:rsidP="00A4692F">
            <w:pPr>
              <w:pStyle w:val="BodyText"/>
              <w:rPr>
                <w:rFonts w:ascii="Arial Black" w:hAnsi="Arial Black" w:cs="Arial"/>
                <w:szCs w:val="24"/>
              </w:rPr>
            </w:pPr>
            <w:r w:rsidRPr="009F1DB2">
              <w:rPr>
                <w:rFonts w:ascii="Arial Black" w:hAnsi="Arial Black" w:cs="Arial"/>
                <w:szCs w:val="24"/>
              </w:rPr>
              <w:t xml:space="preserve">Other </w:t>
            </w:r>
          </w:p>
        </w:tc>
      </w:tr>
      <w:tr w:rsidR="00A80FD7" w:rsidRPr="009F1DB2" w14:paraId="4FFB6181" w14:textId="77777777" w:rsidTr="00A4692F">
        <w:tc>
          <w:tcPr>
            <w:tcW w:w="9867" w:type="dxa"/>
            <w:gridSpan w:val="2"/>
          </w:tcPr>
          <w:p w14:paraId="5CB968EE" w14:textId="77777777" w:rsidR="00A80FD7" w:rsidRPr="009F1DB2" w:rsidRDefault="00A80FD7" w:rsidP="00256A2D">
            <w:pPr>
              <w:pStyle w:val="BodyText"/>
              <w:numPr>
                <w:ilvl w:val="0"/>
                <w:numId w:val="2"/>
              </w:numPr>
              <w:jc w:val="left"/>
              <w:rPr>
                <w:rFonts w:ascii="Arial Black" w:hAnsi="Arial Black" w:cs="Arial"/>
                <w:szCs w:val="24"/>
              </w:rPr>
            </w:pPr>
            <w:r w:rsidRPr="009870B8">
              <w:rPr>
                <w:rFonts w:ascii="Arial Black" w:hAnsi="Arial Black" w:cs="Arial"/>
                <w:szCs w:val="24"/>
              </w:rPr>
              <w:t>Employment</w:t>
            </w:r>
            <w:r w:rsidRPr="009F1DB2">
              <w:rPr>
                <w:rFonts w:ascii="Arial Black" w:hAnsi="Arial Black" w:cs="Arial"/>
                <w:szCs w:val="24"/>
              </w:rPr>
              <w:t xml:space="preserve"> </w:t>
            </w:r>
            <w:r w:rsidR="00256A2D">
              <w:rPr>
                <w:rFonts w:ascii="Arial Black" w:hAnsi="Arial Black" w:cs="Arial"/>
                <w:szCs w:val="24"/>
              </w:rPr>
              <w:t xml:space="preserve"> </w:t>
            </w:r>
          </w:p>
        </w:tc>
      </w:tr>
      <w:tr w:rsidR="00A80FD7" w:rsidRPr="009F1DB2" w14:paraId="128E9902" w14:textId="77777777" w:rsidTr="00A4692F">
        <w:tc>
          <w:tcPr>
            <w:tcW w:w="6771" w:type="dxa"/>
          </w:tcPr>
          <w:p w14:paraId="79D8730B" w14:textId="77777777" w:rsidR="00A80FD7" w:rsidRPr="009F1DB2" w:rsidRDefault="00A80FD7" w:rsidP="00A4692F">
            <w:pPr>
              <w:pStyle w:val="BodyText"/>
              <w:ind w:left="360"/>
              <w:jc w:val="left"/>
              <w:rPr>
                <w:rFonts w:ascii="Arial" w:hAnsi="Arial" w:cs="Arial"/>
                <w:szCs w:val="24"/>
              </w:rPr>
            </w:pPr>
            <w:r w:rsidRPr="009F1DB2">
              <w:rPr>
                <w:rFonts w:ascii="Arial" w:hAnsi="Arial" w:cs="Arial"/>
                <w:szCs w:val="24"/>
              </w:rPr>
              <w:t>The Spatial Strategy commentary above sets out where there is consistency of approach on where employment undertakings can take place in the County</w:t>
            </w:r>
            <w:r w:rsidR="00F04294">
              <w:rPr>
                <w:rFonts w:ascii="Arial" w:hAnsi="Arial" w:cs="Arial"/>
                <w:szCs w:val="24"/>
              </w:rPr>
              <w:t xml:space="preserve"> along with notes of clarification</w:t>
            </w:r>
            <w:r w:rsidRPr="009F1DB2">
              <w:rPr>
                <w:rFonts w:ascii="Arial" w:hAnsi="Arial" w:cs="Arial"/>
                <w:szCs w:val="24"/>
              </w:rPr>
              <w:t xml:space="preserve">. </w:t>
            </w:r>
          </w:p>
          <w:p w14:paraId="7FC25D63" w14:textId="77777777" w:rsidR="00A80FD7" w:rsidRPr="009F1DB2" w:rsidRDefault="00A80FD7" w:rsidP="00A4692F">
            <w:pPr>
              <w:pStyle w:val="BodyText"/>
              <w:ind w:left="360"/>
              <w:jc w:val="left"/>
              <w:rPr>
                <w:rFonts w:ascii="Arial" w:hAnsi="Arial" w:cs="Arial"/>
                <w:szCs w:val="24"/>
              </w:rPr>
            </w:pPr>
          </w:p>
          <w:p w14:paraId="5E858A7C" w14:textId="77777777" w:rsidR="00656189" w:rsidRPr="009F1DB2" w:rsidRDefault="002B06CC" w:rsidP="00656189">
            <w:pPr>
              <w:pStyle w:val="BodyText"/>
              <w:ind w:left="360"/>
              <w:jc w:val="left"/>
              <w:rPr>
                <w:rFonts w:ascii="Arial" w:hAnsi="Arial" w:cs="Arial"/>
                <w:szCs w:val="24"/>
              </w:rPr>
            </w:pPr>
            <w:r>
              <w:rPr>
                <w:rFonts w:ascii="Arial" w:hAnsi="Arial" w:cs="Arial"/>
                <w:szCs w:val="24"/>
              </w:rPr>
              <w:t>The employment and economic development strategy of Carmarthenshire County Council’s Preferred Strategy focusses on the Swansea Bay City Deal</w:t>
            </w:r>
            <w:r w:rsidR="00656189">
              <w:rPr>
                <w:rFonts w:ascii="Arial" w:hAnsi="Arial" w:cs="Arial"/>
                <w:szCs w:val="24"/>
              </w:rPr>
              <w:t>, and other Carmarthenshire-specific strategies.</w:t>
            </w:r>
            <w:r>
              <w:rPr>
                <w:rFonts w:ascii="Arial" w:hAnsi="Arial" w:cs="Arial"/>
                <w:szCs w:val="24"/>
              </w:rPr>
              <w:t xml:space="preserve"> </w:t>
            </w:r>
            <w:r w:rsidR="00656189" w:rsidRPr="009F1DB2">
              <w:rPr>
                <w:rFonts w:ascii="Arial" w:hAnsi="Arial" w:cs="Arial"/>
                <w:szCs w:val="24"/>
              </w:rPr>
              <w:t>C</w:t>
            </w:r>
            <w:r w:rsidR="00656189">
              <w:rPr>
                <w:rFonts w:ascii="Arial" w:hAnsi="Arial" w:cs="Arial"/>
                <w:szCs w:val="24"/>
              </w:rPr>
              <w:t>armarthenshire C</w:t>
            </w:r>
            <w:r w:rsidR="00656189" w:rsidRPr="009F1DB2">
              <w:rPr>
                <w:rFonts w:ascii="Arial" w:hAnsi="Arial" w:cs="Arial"/>
                <w:szCs w:val="24"/>
              </w:rPr>
              <w:t>ounty Council and th</w:t>
            </w:r>
            <w:r w:rsidR="00EF0440">
              <w:rPr>
                <w:rFonts w:ascii="Arial" w:hAnsi="Arial" w:cs="Arial"/>
                <w:szCs w:val="24"/>
              </w:rPr>
              <w:t>is</w:t>
            </w:r>
            <w:r w:rsidR="00656189" w:rsidRPr="009F1DB2">
              <w:rPr>
                <w:rFonts w:ascii="Arial" w:hAnsi="Arial" w:cs="Arial"/>
                <w:szCs w:val="24"/>
              </w:rPr>
              <w:t xml:space="preserve"> National Park Authority are stakeholders in a Regional Strategic Economic study</w:t>
            </w:r>
            <w:r w:rsidR="00656189">
              <w:rPr>
                <w:rFonts w:ascii="Arial" w:hAnsi="Arial" w:cs="Arial"/>
                <w:szCs w:val="24"/>
              </w:rPr>
              <w:t xml:space="preserve"> along with Pembrokeshire County Council and Brecon Beacons National Park Authority. The final report was published in October 2019.</w:t>
            </w:r>
            <w:r w:rsidR="00656189" w:rsidRPr="009F1DB2">
              <w:rPr>
                <w:rFonts w:ascii="Arial" w:hAnsi="Arial" w:cs="Arial"/>
                <w:szCs w:val="24"/>
              </w:rPr>
              <w:t xml:space="preserve"> </w:t>
            </w:r>
            <w:r w:rsidR="00656189">
              <w:rPr>
                <w:rFonts w:ascii="Arial" w:hAnsi="Arial" w:cs="Arial"/>
                <w:szCs w:val="24"/>
              </w:rPr>
              <w:t>The study broadly concludes that there is sufficient strategic land available to meet demand across the area. The policy approach across the Pembrokeshire County Council, Carmarthenshire County Council and Pembrokeshire Coast National Park Authority is to protect strategic and smaller employment sites for employment use.</w:t>
            </w:r>
          </w:p>
          <w:p w14:paraId="441EAA10" w14:textId="77777777" w:rsidR="00A80FD7" w:rsidRPr="009F1DB2" w:rsidRDefault="00A80FD7" w:rsidP="00656189">
            <w:pPr>
              <w:pStyle w:val="BodyText"/>
              <w:ind w:left="360"/>
              <w:jc w:val="left"/>
              <w:rPr>
                <w:rFonts w:ascii="Arial" w:hAnsi="Arial" w:cs="Arial"/>
                <w:szCs w:val="24"/>
              </w:rPr>
            </w:pPr>
          </w:p>
        </w:tc>
        <w:tc>
          <w:tcPr>
            <w:tcW w:w="3096" w:type="dxa"/>
          </w:tcPr>
          <w:p w14:paraId="676EFAAE" w14:textId="77777777" w:rsidR="00A80FD7" w:rsidRPr="009F1DB2" w:rsidRDefault="00A80FD7" w:rsidP="00A4692F">
            <w:pPr>
              <w:pStyle w:val="BodyText"/>
              <w:jc w:val="left"/>
              <w:rPr>
                <w:rFonts w:ascii="Arial" w:hAnsi="Arial" w:cs="Arial"/>
                <w:szCs w:val="24"/>
              </w:rPr>
            </w:pPr>
            <w:r w:rsidRPr="009F1DB2">
              <w:rPr>
                <w:rFonts w:ascii="Arial Black" w:hAnsi="Arial Black" w:cs="Arial"/>
                <w:szCs w:val="24"/>
              </w:rPr>
              <w:t xml:space="preserve">Support </w:t>
            </w:r>
            <w:r w:rsidRPr="009F1DB2">
              <w:rPr>
                <w:rFonts w:ascii="Arial" w:hAnsi="Arial" w:cs="Arial"/>
                <w:szCs w:val="24"/>
              </w:rPr>
              <w:t xml:space="preserve">the </w:t>
            </w:r>
            <w:r w:rsidR="00F04294">
              <w:rPr>
                <w:rFonts w:ascii="Arial" w:hAnsi="Arial" w:cs="Arial"/>
                <w:szCs w:val="24"/>
              </w:rPr>
              <w:t xml:space="preserve">general </w:t>
            </w:r>
            <w:r w:rsidRPr="009F1DB2">
              <w:rPr>
                <w:rFonts w:ascii="Arial" w:hAnsi="Arial" w:cs="Arial"/>
                <w:szCs w:val="24"/>
              </w:rPr>
              <w:t xml:space="preserve">conformity of approach. </w:t>
            </w:r>
            <w:r w:rsidR="00F04294">
              <w:rPr>
                <w:rFonts w:ascii="Arial" w:hAnsi="Arial" w:cs="Arial"/>
                <w:szCs w:val="24"/>
              </w:rPr>
              <w:t xml:space="preserve"> </w:t>
            </w:r>
            <w:r w:rsidRPr="009F1DB2">
              <w:rPr>
                <w:rFonts w:ascii="Arial" w:hAnsi="Arial" w:cs="Arial"/>
                <w:szCs w:val="24"/>
              </w:rPr>
              <w:t xml:space="preserve"> </w:t>
            </w:r>
          </w:p>
          <w:p w14:paraId="2793E15E" w14:textId="77777777" w:rsidR="00A80FD7" w:rsidRPr="009F1DB2" w:rsidRDefault="00A80FD7" w:rsidP="00A4692F">
            <w:pPr>
              <w:pStyle w:val="BodyText"/>
              <w:jc w:val="left"/>
              <w:rPr>
                <w:rFonts w:ascii="Arial" w:hAnsi="Arial" w:cs="Arial"/>
                <w:szCs w:val="24"/>
              </w:rPr>
            </w:pPr>
          </w:p>
          <w:p w14:paraId="6F39AC29" w14:textId="77777777" w:rsidR="00A80FD7" w:rsidRPr="009F1DB2" w:rsidRDefault="00A80FD7" w:rsidP="00F04294">
            <w:pPr>
              <w:pStyle w:val="BodyText"/>
              <w:jc w:val="left"/>
              <w:rPr>
                <w:rFonts w:ascii="Arial Black" w:hAnsi="Arial Black" w:cs="Arial"/>
                <w:szCs w:val="24"/>
              </w:rPr>
            </w:pPr>
          </w:p>
        </w:tc>
      </w:tr>
      <w:tr w:rsidR="00A80FD7" w:rsidRPr="009F1DB2" w14:paraId="1E817D15" w14:textId="77777777" w:rsidTr="00A4692F">
        <w:tc>
          <w:tcPr>
            <w:tcW w:w="6771" w:type="dxa"/>
          </w:tcPr>
          <w:p w14:paraId="03909BCD" w14:textId="77777777" w:rsidR="00A80FD7" w:rsidRPr="009F1DB2" w:rsidRDefault="00A80FD7" w:rsidP="00256A2D">
            <w:pPr>
              <w:pStyle w:val="BodyText"/>
              <w:numPr>
                <w:ilvl w:val="0"/>
                <w:numId w:val="2"/>
              </w:numPr>
              <w:jc w:val="left"/>
              <w:rPr>
                <w:rFonts w:ascii="Arial Black" w:hAnsi="Arial Black" w:cs="Arial"/>
                <w:szCs w:val="24"/>
              </w:rPr>
            </w:pPr>
            <w:r w:rsidRPr="009870B8">
              <w:rPr>
                <w:rFonts w:ascii="Arial Black" w:hAnsi="Arial Black" w:cs="Arial"/>
                <w:szCs w:val="24"/>
              </w:rPr>
              <w:t>Housing Growth</w:t>
            </w:r>
            <w:r w:rsidR="00CE28BC">
              <w:rPr>
                <w:rFonts w:ascii="Arial Black" w:hAnsi="Arial Black" w:cs="Arial"/>
                <w:szCs w:val="24"/>
              </w:rPr>
              <w:t xml:space="preserve"> </w:t>
            </w:r>
            <w:r w:rsidR="00256A2D">
              <w:rPr>
                <w:rFonts w:ascii="Arial Black" w:hAnsi="Arial Black" w:cs="Arial"/>
                <w:szCs w:val="24"/>
              </w:rPr>
              <w:t xml:space="preserve"> </w:t>
            </w:r>
          </w:p>
        </w:tc>
        <w:tc>
          <w:tcPr>
            <w:tcW w:w="3096" w:type="dxa"/>
          </w:tcPr>
          <w:p w14:paraId="5DB5B22E" w14:textId="77777777" w:rsidR="00A80FD7" w:rsidRPr="009F1DB2" w:rsidRDefault="00A80FD7" w:rsidP="00A4692F">
            <w:pPr>
              <w:pStyle w:val="BodyText"/>
              <w:jc w:val="left"/>
              <w:rPr>
                <w:rFonts w:ascii="Arial Black" w:hAnsi="Arial Black" w:cs="Arial"/>
                <w:szCs w:val="24"/>
              </w:rPr>
            </w:pPr>
          </w:p>
        </w:tc>
      </w:tr>
      <w:tr w:rsidR="00A80FD7" w:rsidRPr="009F1DB2" w14:paraId="584745E9" w14:textId="77777777" w:rsidTr="00A4692F">
        <w:tc>
          <w:tcPr>
            <w:tcW w:w="6771" w:type="dxa"/>
          </w:tcPr>
          <w:p w14:paraId="68A85775" w14:textId="77777777" w:rsidR="00A80FD7" w:rsidRPr="009F1DB2" w:rsidRDefault="00A80FD7" w:rsidP="00B55A43">
            <w:pPr>
              <w:pStyle w:val="BodyText"/>
              <w:ind w:left="426"/>
              <w:jc w:val="left"/>
              <w:rPr>
                <w:rFonts w:ascii="Arial" w:hAnsi="Arial" w:cs="Arial"/>
                <w:szCs w:val="24"/>
              </w:rPr>
            </w:pPr>
            <w:r w:rsidRPr="009F1DB2">
              <w:rPr>
                <w:rFonts w:ascii="Arial" w:hAnsi="Arial" w:cs="Arial"/>
                <w:szCs w:val="24"/>
              </w:rPr>
              <w:t xml:space="preserve">Pembrokeshire Coast National Park Authority </w:t>
            </w:r>
            <w:r w:rsidR="00F04294">
              <w:rPr>
                <w:rFonts w:ascii="Arial" w:hAnsi="Arial" w:cs="Arial"/>
                <w:szCs w:val="24"/>
              </w:rPr>
              <w:t xml:space="preserve">has no comment on the </w:t>
            </w:r>
            <w:r w:rsidRPr="009F1DB2">
              <w:rPr>
                <w:rFonts w:ascii="Arial" w:hAnsi="Arial" w:cs="Arial"/>
                <w:szCs w:val="24"/>
              </w:rPr>
              <w:t xml:space="preserve">anticipated scale </w:t>
            </w:r>
            <w:r w:rsidR="00F04294">
              <w:rPr>
                <w:rFonts w:ascii="Arial" w:hAnsi="Arial" w:cs="Arial"/>
                <w:szCs w:val="24"/>
              </w:rPr>
              <w:t xml:space="preserve">of growth proposed. </w:t>
            </w:r>
          </w:p>
        </w:tc>
        <w:tc>
          <w:tcPr>
            <w:tcW w:w="3096" w:type="dxa"/>
          </w:tcPr>
          <w:p w14:paraId="1D3012A0" w14:textId="77777777" w:rsidR="00A80FD7" w:rsidRPr="009F1DB2" w:rsidRDefault="00A80FD7" w:rsidP="00A4692F">
            <w:pPr>
              <w:pStyle w:val="BodyText"/>
              <w:jc w:val="left"/>
              <w:rPr>
                <w:rFonts w:ascii="Arial Black" w:hAnsi="Arial Black" w:cs="Arial"/>
                <w:szCs w:val="24"/>
              </w:rPr>
            </w:pPr>
          </w:p>
        </w:tc>
      </w:tr>
      <w:tr w:rsidR="00A80FD7" w:rsidRPr="009F1DB2" w14:paraId="34DF7856" w14:textId="77777777" w:rsidTr="00A4692F">
        <w:tc>
          <w:tcPr>
            <w:tcW w:w="6771" w:type="dxa"/>
          </w:tcPr>
          <w:p w14:paraId="4151E7EB" w14:textId="77777777" w:rsidR="00A80FD7" w:rsidRPr="009F1DB2" w:rsidRDefault="00A80FD7" w:rsidP="00256A2D">
            <w:pPr>
              <w:pStyle w:val="BodyText"/>
              <w:numPr>
                <w:ilvl w:val="0"/>
                <w:numId w:val="2"/>
              </w:numPr>
              <w:jc w:val="left"/>
              <w:rPr>
                <w:rFonts w:ascii="Arial Black" w:hAnsi="Arial Black" w:cs="Arial"/>
                <w:szCs w:val="24"/>
              </w:rPr>
            </w:pPr>
            <w:r w:rsidRPr="009870B8">
              <w:rPr>
                <w:rFonts w:ascii="Arial Black" w:hAnsi="Arial Black" w:cs="Arial"/>
                <w:szCs w:val="24"/>
              </w:rPr>
              <w:t>Affordable Housing</w:t>
            </w:r>
            <w:r w:rsidRPr="009F1DB2">
              <w:rPr>
                <w:rFonts w:ascii="Arial Black" w:hAnsi="Arial Black" w:cs="Arial"/>
                <w:szCs w:val="24"/>
              </w:rPr>
              <w:t xml:space="preserve"> </w:t>
            </w:r>
            <w:r w:rsidR="00256A2D">
              <w:rPr>
                <w:rFonts w:ascii="Arial Black" w:hAnsi="Arial Black" w:cs="Arial"/>
                <w:szCs w:val="24"/>
              </w:rPr>
              <w:t xml:space="preserve"> </w:t>
            </w:r>
          </w:p>
        </w:tc>
        <w:tc>
          <w:tcPr>
            <w:tcW w:w="3096" w:type="dxa"/>
          </w:tcPr>
          <w:p w14:paraId="7E3AE7E7" w14:textId="77777777" w:rsidR="00A80FD7" w:rsidRPr="009F1DB2" w:rsidRDefault="00A80FD7" w:rsidP="00A4692F">
            <w:pPr>
              <w:pStyle w:val="BodyText"/>
              <w:jc w:val="left"/>
              <w:rPr>
                <w:rFonts w:ascii="Arial Black" w:hAnsi="Arial Black" w:cs="Arial"/>
                <w:szCs w:val="24"/>
              </w:rPr>
            </w:pPr>
          </w:p>
        </w:tc>
      </w:tr>
      <w:tr w:rsidR="00A80FD7" w:rsidRPr="009F1DB2" w14:paraId="14C5CAD0" w14:textId="77777777" w:rsidTr="00A4692F">
        <w:tc>
          <w:tcPr>
            <w:tcW w:w="6771" w:type="dxa"/>
          </w:tcPr>
          <w:p w14:paraId="1517802F" w14:textId="77777777" w:rsidR="00A80FD7" w:rsidRDefault="00D36CC6" w:rsidP="00A4692F">
            <w:pPr>
              <w:pStyle w:val="BodyText"/>
              <w:ind w:left="426"/>
              <w:jc w:val="left"/>
              <w:rPr>
                <w:rFonts w:ascii="Arial" w:hAnsi="Arial" w:cs="Arial"/>
                <w:szCs w:val="24"/>
              </w:rPr>
            </w:pPr>
            <w:r w:rsidRPr="00D36CC6">
              <w:rPr>
                <w:rFonts w:ascii="Arial" w:hAnsi="Arial" w:cs="Arial"/>
                <w:szCs w:val="24"/>
              </w:rPr>
              <w:t>The</w:t>
            </w:r>
            <w:r>
              <w:rPr>
                <w:rFonts w:ascii="Arial" w:hAnsi="Arial" w:cs="Arial"/>
                <w:szCs w:val="24"/>
              </w:rPr>
              <w:t xml:space="preserve"> </w:t>
            </w:r>
            <w:r w:rsidRPr="00D36CC6">
              <w:rPr>
                <w:rFonts w:ascii="Arial" w:hAnsi="Arial" w:cs="Arial"/>
                <w:szCs w:val="24"/>
              </w:rPr>
              <w:t>National Park Authority has no comment</w:t>
            </w:r>
            <w:r>
              <w:rPr>
                <w:rFonts w:ascii="Arial" w:hAnsi="Arial" w:cs="Arial"/>
                <w:szCs w:val="24"/>
              </w:rPr>
              <w:t>.</w:t>
            </w:r>
          </w:p>
          <w:p w14:paraId="4A724201" w14:textId="77777777" w:rsidR="009870B8" w:rsidRDefault="009870B8" w:rsidP="00A4692F">
            <w:pPr>
              <w:pStyle w:val="BodyText"/>
              <w:ind w:left="426"/>
              <w:jc w:val="left"/>
              <w:rPr>
                <w:rFonts w:ascii="Arial" w:hAnsi="Arial" w:cs="Arial"/>
                <w:szCs w:val="24"/>
              </w:rPr>
            </w:pPr>
          </w:p>
          <w:p w14:paraId="05B85DD5" w14:textId="419D4BD0" w:rsidR="009870B8" w:rsidRPr="009F1DB2" w:rsidRDefault="009870B8" w:rsidP="00A4692F">
            <w:pPr>
              <w:pStyle w:val="BodyText"/>
              <w:ind w:left="426"/>
              <w:jc w:val="left"/>
              <w:rPr>
                <w:rFonts w:ascii="Arial" w:hAnsi="Arial" w:cs="Arial"/>
                <w:szCs w:val="24"/>
              </w:rPr>
            </w:pPr>
          </w:p>
        </w:tc>
        <w:tc>
          <w:tcPr>
            <w:tcW w:w="3096" w:type="dxa"/>
          </w:tcPr>
          <w:p w14:paraId="327308D5" w14:textId="0EC47AD3" w:rsidR="00D36CC6" w:rsidRDefault="00D36CC6" w:rsidP="00EF0440">
            <w:pPr>
              <w:pStyle w:val="BodyText"/>
              <w:jc w:val="left"/>
              <w:rPr>
                <w:rFonts w:ascii="Arial" w:hAnsi="Arial" w:cs="Arial"/>
                <w:szCs w:val="24"/>
              </w:rPr>
            </w:pPr>
          </w:p>
          <w:p w14:paraId="0CF4574D" w14:textId="38A87A92" w:rsidR="00A80FD7" w:rsidRPr="009F1DB2" w:rsidRDefault="00D36CC6" w:rsidP="00EF0440">
            <w:pPr>
              <w:pStyle w:val="BodyText"/>
              <w:jc w:val="left"/>
              <w:rPr>
                <w:rFonts w:ascii="Arial Black" w:hAnsi="Arial Black" w:cs="Arial"/>
                <w:szCs w:val="24"/>
              </w:rPr>
            </w:pPr>
            <w:r>
              <w:rPr>
                <w:rFonts w:ascii="Arial Black" w:hAnsi="Arial Black" w:cs="Arial"/>
                <w:szCs w:val="24"/>
              </w:rPr>
              <w:t xml:space="preserve">No comment. </w:t>
            </w:r>
            <w:r w:rsidR="00A80FD7" w:rsidRPr="009F1DB2">
              <w:rPr>
                <w:rFonts w:ascii="Arial" w:hAnsi="Arial" w:cs="Arial"/>
                <w:szCs w:val="24"/>
              </w:rPr>
              <w:t xml:space="preserve">   </w:t>
            </w:r>
          </w:p>
        </w:tc>
      </w:tr>
      <w:tr w:rsidR="00A80FD7" w:rsidRPr="009F1DB2" w14:paraId="585E7232" w14:textId="77777777" w:rsidTr="00A4692F">
        <w:tc>
          <w:tcPr>
            <w:tcW w:w="6771" w:type="dxa"/>
          </w:tcPr>
          <w:p w14:paraId="68DA1AD3" w14:textId="22A8B896" w:rsidR="00A80FD7" w:rsidRPr="009F1DB2" w:rsidRDefault="00A80FD7">
            <w:pPr>
              <w:pStyle w:val="BodyText"/>
              <w:rPr>
                <w:rFonts w:ascii="Arial Black" w:hAnsi="Arial Black" w:cs="Arial"/>
                <w:szCs w:val="24"/>
              </w:rPr>
            </w:pPr>
            <w:r w:rsidRPr="009870B8">
              <w:rPr>
                <w:rFonts w:ascii="Arial Black" w:hAnsi="Arial Black" w:cs="Arial"/>
                <w:szCs w:val="24"/>
              </w:rPr>
              <w:lastRenderedPageBreak/>
              <w:t>Climate Change</w:t>
            </w:r>
            <w:r w:rsidR="00CE28BC" w:rsidRPr="009870B8">
              <w:rPr>
                <w:rFonts w:ascii="Arial Black" w:hAnsi="Arial Black" w:cs="Arial"/>
                <w:szCs w:val="24"/>
              </w:rPr>
              <w:t xml:space="preserve"> </w:t>
            </w:r>
          </w:p>
        </w:tc>
        <w:tc>
          <w:tcPr>
            <w:tcW w:w="3096" w:type="dxa"/>
          </w:tcPr>
          <w:p w14:paraId="12441175" w14:textId="77777777" w:rsidR="00A80FD7" w:rsidRPr="009F1DB2" w:rsidRDefault="00A80FD7" w:rsidP="00A4692F">
            <w:pPr>
              <w:pStyle w:val="BodyText"/>
              <w:jc w:val="left"/>
              <w:rPr>
                <w:rFonts w:ascii="Arial Black" w:hAnsi="Arial Black" w:cs="Arial"/>
                <w:szCs w:val="24"/>
              </w:rPr>
            </w:pPr>
          </w:p>
        </w:tc>
      </w:tr>
      <w:tr w:rsidR="00A80FD7" w:rsidRPr="009F1DB2" w14:paraId="33B68BC2" w14:textId="77777777" w:rsidTr="00A4692F">
        <w:tc>
          <w:tcPr>
            <w:tcW w:w="6771" w:type="dxa"/>
          </w:tcPr>
          <w:p w14:paraId="3A4FC6F3" w14:textId="77777777" w:rsidR="00A80FD7" w:rsidRPr="009F1DB2" w:rsidRDefault="00A80FD7" w:rsidP="00A4692F">
            <w:pPr>
              <w:pStyle w:val="BodyText"/>
              <w:ind w:left="426"/>
              <w:jc w:val="left"/>
              <w:rPr>
                <w:rFonts w:ascii="Arial" w:hAnsi="Arial" w:cs="Arial"/>
                <w:szCs w:val="24"/>
              </w:rPr>
            </w:pPr>
            <w:r w:rsidRPr="009F1DB2">
              <w:rPr>
                <w:rFonts w:ascii="Arial" w:hAnsi="Arial" w:cs="Arial"/>
                <w:szCs w:val="24"/>
              </w:rPr>
              <w:t>The Authorities have a shared understanding of the need to plan for climate change and to mitigate its impacts and to provide for high quality design to ensure that new development is</w:t>
            </w:r>
            <w:r w:rsidR="00594CC6">
              <w:rPr>
                <w:rFonts w:ascii="Arial" w:hAnsi="Arial" w:cs="Arial"/>
                <w:szCs w:val="24"/>
              </w:rPr>
              <w:t xml:space="preserve"> </w:t>
            </w:r>
            <w:r w:rsidR="00921AD5">
              <w:rPr>
                <w:rFonts w:ascii="Arial" w:hAnsi="Arial" w:cs="Arial"/>
                <w:szCs w:val="24"/>
              </w:rPr>
              <w:t>adaptable to climate change.</w:t>
            </w:r>
          </w:p>
          <w:p w14:paraId="21902980" w14:textId="77777777" w:rsidR="00A80FD7" w:rsidRPr="009F1DB2" w:rsidRDefault="00A80FD7" w:rsidP="00A4692F">
            <w:pPr>
              <w:pStyle w:val="BodyText"/>
              <w:ind w:left="426"/>
              <w:jc w:val="left"/>
              <w:rPr>
                <w:rFonts w:ascii="Arial" w:hAnsi="Arial" w:cs="Arial"/>
                <w:szCs w:val="24"/>
              </w:rPr>
            </w:pPr>
          </w:p>
          <w:p w14:paraId="3294E972" w14:textId="59B6C65E" w:rsidR="00A80FD7" w:rsidRPr="009F1DB2" w:rsidRDefault="00F7729D" w:rsidP="00EF0440">
            <w:pPr>
              <w:pStyle w:val="BodyText"/>
              <w:ind w:left="426"/>
              <w:jc w:val="left"/>
              <w:rPr>
                <w:rFonts w:ascii="Arial" w:hAnsi="Arial" w:cs="Arial"/>
                <w:szCs w:val="24"/>
              </w:rPr>
            </w:pPr>
            <w:r>
              <w:rPr>
                <w:rFonts w:ascii="Arial" w:hAnsi="Arial" w:cs="Arial"/>
                <w:szCs w:val="24"/>
              </w:rPr>
              <w:t>Th</w:t>
            </w:r>
            <w:r w:rsidR="00EF0440">
              <w:rPr>
                <w:rFonts w:ascii="Arial" w:hAnsi="Arial" w:cs="Arial"/>
                <w:szCs w:val="24"/>
              </w:rPr>
              <w:t>is</w:t>
            </w:r>
            <w:r>
              <w:rPr>
                <w:rFonts w:ascii="Arial" w:hAnsi="Arial" w:cs="Arial"/>
                <w:szCs w:val="24"/>
              </w:rPr>
              <w:t xml:space="preserve"> National Park Authority supports the approach taken to future-proofing communities in light of predicted sea-level rise and the identification of a Coastal Change Management Area, supported by the South Wales Shoreline Management Plan. </w:t>
            </w:r>
          </w:p>
        </w:tc>
        <w:tc>
          <w:tcPr>
            <w:tcW w:w="3096" w:type="dxa"/>
          </w:tcPr>
          <w:p w14:paraId="15CC7B01" w14:textId="4B9A8F5B" w:rsidR="00A80FD7" w:rsidRDefault="00A80FD7" w:rsidP="00921AD5">
            <w:pPr>
              <w:pStyle w:val="BodyText"/>
              <w:jc w:val="left"/>
              <w:rPr>
                <w:rFonts w:ascii="Arial" w:hAnsi="Arial" w:cs="Arial"/>
                <w:szCs w:val="24"/>
              </w:rPr>
            </w:pPr>
            <w:r w:rsidRPr="009F1DB2">
              <w:rPr>
                <w:rFonts w:ascii="Arial Black" w:hAnsi="Arial Black" w:cs="Arial"/>
                <w:szCs w:val="24"/>
              </w:rPr>
              <w:t>Support</w:t>
            </w:r>
            <w:r w:rsidRPr="009F1DB2">
              <w:rPr>
                <w:rFonts w:ascii="Arial" w:hAnsi="Arial" w:cs="Arial"/>
                <w:szCs w:val="24"/>
              </w:rPr>
              <w:t xml:space="preserve"> in principle. Support Policy </w:t>
            </w:r>
            <w:r w:rsidR="00FD4E25">
              <w:rPr>
                <w:rFonts w:ascii="Arial" w:hAnsi="Arial" w:cs="Arial"/>
                <w:szCs w:val="24"/>
              </w:rPr>
              <w:t xml:space="preserve">PSD1 </w:t>
            </w:r>
            <w:r w:rsidR="00921AD5">
              <w:rPr>
                <w:rFonts w:ascii="Arial" w:hAnsi="Arial" w:cs="Arial"/>
                <w:szCs w:val="24"/>
              </w:rPr>
              <w:t>Placemaking</w:t>
            </w:r>
            <w:r w:rsidR="00F7729D">
              <w:rPr>
                <w:rFonts w:ascii="Arial" w:hAnsi="Arial" w:cs="Arial"/>
                <w:szCs w:val="24"/>
              </w:rPr>
              <w:t xml:space="preserve"> and sustainable places</w:t>
            </w:r>
            <w:r w:rsidRPr="009F1DB2">
              <w:rPr>
                <w:rFonts w:ascii="Arial" w:hAnsi="Arial" w:cs="Arial"/>
                <w:szCs w:val="24"/>
              </w:rPr>
              <w:t>,</w:t>
            </w:r>
            <w:r w:rsidR="00F7729D">
              <w:rPr>
                <w:rFonts w:ascii="Arial" w:hAnsi="Arial" w:cs="Arial"/>
                <w:szCs w:val="24"/>
              </w:rPr>
              <w:t xml:space="preserve"> Policy </w:t>
            </w:r>
            <w:r w:rsidR="00114BCF">
              <w:rPr>
                <w:rFonts w:ascii="Arial" w:hAnsi="Arial" w:cs="Arial"/>
                <w:szCs w:val="24"/>
              </w:rPr>
              <w:t xml:space="preserve">NE5 </w:t>
            </w:r>
            <w:r w:rsidR="00F7729D">
              <w:rPr>
                <w:rFonts w:ascii="Arial" w:hAnsi="Arial" w:cs="Arial"/>
                <w:szCs w:val="24"/>
              </w:rPr>
              <w:t xml:space="preserve">Coastal Management </w:t>
            </w:r>
            <w:r w:rsidR="00114BCF">
              <w:rPr>
                <w:rFonts w:ascii="Arial" w:hAnsi="Arial" w:cs="Arial"/>
                <w:szCs w:val="24"/>
              </w:rPr>
              <w:t xml:space="preserve">NE6: Coastal Development; and NE7 Coastal Change Management Area </w:t>
            </w:r>
            <w:r w:rsidR="00921AD5">
              <w:rPr>
                <w:rFonts w:ascii="Arial" w:hAnsi="Arial" w:cs="Arial"/>
                <w:szCs w:val="24"/>
              </w:rPr>
              <w:t xml:space="preserve">and </w:t>
            </w:r>
            <w:r w:rsidR="00114BCF">
              <w:rPr>
                <w:rFonts w:ascii="Arial" w:hAnsi="Arial" w:cs="Arial"/>
                <w:szCs w:val="24"/>
              </w:rPr>
              <w:t xml:space="preserve">SP16 </w:t>
            </w:r>
            <w:r w:rsidR="00921AD5">
              <w:rPr>
                <w:rFonts w:ascii="Arial" w:hAnsi="Arial" w:cs="Arial"/>
                <w:szCs w:val="24"/>
              </w:rPr>
              <w:t>Climate change</w:t>
            </w:r>
            <w:r w:rsidRPr="009F1DB2">
              <w:rPr>
                <w:rFonts w:ascii="Arial" w:hAnsi="Arial" w:cs="Arial"/>
                <w:szCs w:val="24"/>
              </w:rPr>
              <w:t xml:space="preserve">.  </w:t>
            </w:r>
          </w:p>
          <w:p w14:paraId="60979EDE" w14:textId="77777777" w:rsidR="00594CC6" w:rsidRPr="009F1DB2" w:rsidRDefault="00594CC6">
            <w:pPr>
              <w:pStyle w:val="BodyText"/>
              <w:jc w:val="left"/>
              <w:rPr>
                <w:rFonts w:ascii="Arial Black" w:hAnsi="Arial Black" w:cs="Arial"/>
                <w:szCs w:val="24"/>
              </w:rPr>
            </w:pPr>
            <w:r w:rsidRPr="00B55A43">
              <w:rPr>
                <w:rFonts w:ascii="Arial Black" w:hAnsi="Arial Black" w:cs="Arial"/>
                <w:szCs w:val="24"/>
              </w:rPr>
              <w:t>Note:</w:t>
            </w:r>
            <w:r>
              <w:rPr>
                <w:rFonts w:ascii="Arial" w:hAnsi="Arial" w:cs="Arial"/>
                <w:szCs w:val="24"/>
              </w:rPr>
              <w:t xml:space="preserve"> See comment across</w:t>
            </w:r>
            <w:r w:rsidR="00EF0440">
              <w:rPr>
                <w:rFonts w:ascii="Arial" w:hAnsi="Arial" w:cs="Arial"/>
                <w:szCs w:val="24"/>
              </w:rPr>
              <w:t>.</w:t>
            </w:r>
          </w:p>
        </w:tc>
      </w:tr>
      <w:tr w:rsidR="00A80FD7" w:rsidRPr="009F1DB2" w14:paraId="3F30DDDC" w14:textId="77777777" w:rsidTr="00A4692F">
        <w:tc>
          <w:tcPr>
            <w:tcW w:w="6771" w:type="dxa"/>
          </w:tcPr>
          <w:p w14:paraId="7D1C5489" w14:textId="77777777" w:rsidR="00A80FD7" w:rsidRPr="009F1DB2" w:rsidRDefault="00A80FD7" w:rsidP="00256A2D">
            <w:pPr>
              <w:pStyle w:val="BodyText"/>
              <w:rPr>
                <w:rFonts w:ascii="Arial" w:hAnsi="Arial" w:cs="Arial"/>
                <w:szCs w:val="24"/>
              </w:rPr>
            </w:pPr>
            <w:r w:rsidRPr="009870B8">
              <w:rPr>
                <w:rFonts w:ascii="Arial Black" w:hAnsi="Arial Black" w:cs="Arial"/>
                <w:szCs w:val="24"/>
              </w:rPr>
              <w:t>Visitor Economy</w:t>
            </w:r>
            <w:r w:rsidRPr="009F1DB2">
              <w:rPr>
                <w:rFonts w:ascii="Arial Black" w:hAnsi="Arial Black" w:cs="Arial"/>
                <w:szCs w:val="24"/>
              </w:rPr>
              <w:t xml:space="preserve"> </w:t>
            </w:r>
            <w:r w:rsidR="00594CC6">
              <w:rPr>
                <w:rFonts w:ascii="Arial Black" w:hAnsi="Arial Black" w:cs="Arial"/>
                <w:szCs w:val="24"/>
              </w:rPr>
              <w:t xml:space="preserve"> </w:t>
            </w:r>
            <w:r w:rsidR="00256A2D">
              <w:rPr>
                <w:rFonts w:ascii="Arial Black" w:hAnsi="Arial Black" w:cs="Arial"/>
                <w:szCs w:val="24"/>
              </w:rPr>
              <w:t xml:space="preserve"> </w:t>
            </w:r>
          </w:p>
        </w:tc>
        <w:tc>
          <w:tcPr>
            <w:tcW w:w="3096" w:type="dxa"/>
          </w:tcPr>
          <w:p w14:paraId="42E3FB6A" w14:textId="77777777" w:rsidR="00A80FD7" w:rsidRPr="009F1DB2" w:rsidRDefault="00A80FD7" w:rsidP="00A4692F">
            <w:pPr>
              <w:pStyle w:val="BodyText"/>
              <w:jc w:val="left"/>
              <w:rPr>
                <w:rFonts w:ascii="Arial" w:hAnsi="Arial" w:cs="Arial"/>
                <w:szCs w:val="24"/>
              </w:rPr>
            </w:pPr>
          </w:p>
        </w:tc>
      </w:tr>
      <w:tr w:rsidR="00A80FD7" w:rsidRPr="009F1DB2" w14:paraId="1EB1F7D8" w14:textId="77777777" w:rsidTr="00A4692F">
        <w:tc>
          <w:tcPr>
            <w:tcW w:w="6771" w:type="dxa"/>
          </w:tcPr>
          <w:p w14:paraId="50BC1E48" w14:textId="77777777" w:rsidR="00A80FD7" w:rsidRPr="009F1DB2" w:rsidRDefault="00A80FD7" w:rsidP="003608AB">
            <w:pPr>
              <w:pStyle w:val="BodyText"/>
              <w:ind w:left="426"/>
              <w:jc w:val="left"/>
              <w:rPr>
                <w:rFonts w:ascii="Arial" w:hAnsi="Arial" w:cs="Arial"/>
                <w:szCs w:val="24"/>
              </w:rPr>
            </w:pPr>
            <w:r w:rsidRPr="009F1DB2">
              <w:rPr>
                <w:rFonts w:ascii="Arial" w:hAnsi="Arial" w:cs="Arial"/>
                <w:szCs w:val="24"/>
              </w:rPr>
              <w:t xml:space="preserve">Both Authorities recognise the importance of the visitor economy to </w:t>
            </w:r>
            <w:r w:rsidR="003608AB">
              <w:rPr>
                <w:rFonts w:ascii="Arial" w:hAnsi="Arial" w:cs="Arial"/>
                <w:szCs w:val="24"/>
              </w:rPr>
              <w:t>west Wales</w:t>
            </w:r>
            <w:r w:rsidRPr="009F1DB2">
              <w:rPr>
                <w:rFonts w:ascii="Arial" w:hAnsi="Arial" w:cs="Arial"/>
                <w:szCs w:val="24"/>
              </w:rPr>
              <w:t xml:space="preserve"> and aim to support the </w:t>
            </w:r>
            <w:r w:rsidR="003608AB">
              <w:rPr>
                <w:rFonts w:ascii="Arial" w:hAnsi="Arial" w:cs="Arial"/>
                <w:szCs w:val="24"/>
              </w:rPr>
              <w:t>sector</w:t>
            </w:r>
            <w:r w:rsidRPr="009F1DB2">
              <w:rPr>
                <w:rFonts w:ascii="Arial" w:hAnsi="Arial" w:cs="Arial"/>
                <w:szCs w:val="24"/>
              </w:rPr>
              <w:t xml:space="preserve"> and attract visitors all year round. </w:t>
            </w:r>
            <w:r w:rsidR="003608AB">
              <w:rPr>
                <w:rFonts w:ascii="Arial" w:hAnsi="Arial" w:cs="Arial"/>
                <w:szCs w:val="24"/>
              </w:rPr>
              <w:t>Both also recognise that some attractions require a countryside setting</w:t>
            </w:r>
            <w:r w:rsidR="003608AB" w:rsidRPr="009F1DB2">
              <w:rPr>
                <w:rFonts w:ascii="Arial" w:hAnsi="Arial" w:cs="Arial"/>
                <w:szCs w:val="24"/>
              </w:rPr>
              <w:t xml:space="preserve"> </w:t>
            </w:r>
            <w:r w:rsidR="003608AB">
              <w:rPr>
                <w:rFonts w:ascii="Arial" w:hAnsi="Arial" w:cs="Arial"/>
                <w:szCs w:val="24"/>
              </w:rPr>
              <w:t>but that this should be the exception, and the majority of tourism related development being sustainably located.</w:t>
            </w:r>
          </w:p>
        </w:tc>
        <w:tc>
          <w:tcPr>
            <w:tcW w:w="3096" w:type="dxa"/>
          </w:tcPr>
          <w:p w14:paraId="5BE2966F" w14:textId="08FBB510" w:rsidR="00A80FD7" w:rsidRPr="009F1DB2" w:rsidRDefault="00A80FD7" w:rsidP="003608AB">
            <w:pPr>
              <w:pStyle w:val="BodyText"/>
              <w:jc w:val="left"/>
              <w:rPr>
                <w:rFonts w:ascii="Arial" w:hAnsi="Arial" w:cs="Arial"/>
                <w:szCs w:val="24"/>
              </w:rPr>
            </w:pPr>
            <w:r w:rsidRPr="009F1DB2">
              <w:rPr>
                <w:rFonts w:ascii="Arial Black" w:hAnsi="Arial Black" w:cs="Arial"/>
                <w:szCs w:val="24"/>
              </w:rPr>
              <w:t xml:space="preserve">Support </w:t>
            </w:r>
            <w:r w:rsidR="00114BCF" w:rsidRPr="009F1DB2">
              <w:rPr>
                <w:rFonts w:ascii="Arial" w:hAnsi="Arial" w:cs="Arial"/>
                <w:szCs w:val="24"/>
              </w:rPr>
              <w:t>SP</w:t>
            </w:r>
            <w:r w:rsidR="00114BCF">
              <w:rPr>
                <w:rFonts w:ascii="Arial" w:hAnsi="Arial" w:cs="Arial"/>
                <w:szCs w:val="24"/>
              </w:rPr>
              <w:t>11</w:t>
            </w:r>
            <w:r w:rsidR="00114BCF" w:rsidRPr="009F1DB2">
              <w:rPr>
                <w:rFonts w:ascii="Arial" w:hAnsi="Arial" w:cs="Arial"/>
                <w:szCs w:val="24"/>
              </w:rPr>
              <w:t xml:space="preserve"> </w:t>
            </w:r>
            <w:r w:rsidR="003608AB">
              <w:rPr>
                <w:rFonts w:ascii="Arial" w:hAnsi="Arial" w:cs="Arial"/>
                <w:szCs w:val="24"/>
              </w:rPr>
              <w:t xml:space="preserve">The </w:t>
            </w:r>
            <w:r w:rsidRPr="009F1DB2">
              <w:rPr>
                <w:rFonts w:ascii="Arial" w:hAnsi="Arial" w:cs="Arial"/>
                <w:szCs w:val="24"/>
              </w:rPr>
              <w:t>Visitor Economy</w:t>
            </w:r>
            <w:r w:rsidR="00114BCF">
              <w:rPr>
                <w:rFonts w:ascii="Arial" w:hAnsi="Arial" w:cs="Arial"/>
                <w:szCs w:val="24"/>
              </w:rPr>
              <w:t xml:space="preserve">, VE1 Visitor Attractions </w:t>
            </w:r>
            <w:r w:rsidR="009870B8">
              <w:rPr>
                <w:rFonts w:ascii="Arial" w:hAnsi="Arial" w:cs="Arial"/>
                <w:szCs w:val="24"/>
              </w:rPr>
              <w:t>and Facilities</w:t>
            </w:r>
            <w:r w:rsidR="00114BCF">
              <w:rPr>
                <w:rFonts w:ascii="Arial" w:hAnsi="Arial" w:cs="Arial"/>
                <w:szCs w:val="24"/>
              </w:rPr>
              <w:t>; VE2 Holiday Accommodation</w:t>
            </w:r>
            <w:r w:rsidR="00426C7F">
              <w:rPr>
                <w:rFonts w:ascii="Arial" w:hAnsi="Arial" w:cs="Arial"/>
                <w:szCs w:val="24"/>
              </w:rPr>
              <w:t>; VE3 Touring Caravan, camping and Non-Permanent Alternative Camping Accommodation; VE4 Static Caravan and Chalet Sites and Permanent Alternative Camping Accommodation</w:t>
            </w:r>
            <w:r w:rsidRPr="009F1DB2">
              <w:rPr>
                <w:rFonts w:ascii="Arial" w:hAnsi="Arial" w:cs="Arial"/>
                <w:szCs w:val="24"/>
              </w:rPr>
              <w:t xml:space="preserve">. </w:t>
            </w:r>
          </w:p>
        </w:tc>
      </w:tr>
      <w:tr w:rsidR="00A80FD7" w:rsidRPr="009F1DB2" w14:paraId="3D783823" w14:textId="77777777" w:rsidTr="00A4692F">
        <w:tc>
          <w:tcPr>
            <w:tcW w:w="6771" w:type="dxa"/>
          </w:tcPr>
          <w:p w14:paraId="2C7DD2F1" w14:textId="77777777" w:rsidR="00A80FD7" w:rsidRPr="009F1DB2" w:rsidRDefault="00A80FD7" w:rsidP="00256A2D">
            <w:pPr>
              <w:pStyle w:val="BodyText"/>
              <w:rPr>
                <w:rFonts w:ascii="Arial" w:hAnsi="Arial" w:cs="Arial"/>
                <w:szCs w:val="24"/>
              </w:rPr>
            </w:pPr>
            <w:r w:rsidRPr="009F1DB2">
              <w:rPr>
                <w:rFonts w:ascii="Arial Black" w:hAnsi="Arial Black" w:cs="Arial"/>
                <w:szCs w:val="24"/>
              </w:rPr>
              <w:t xml:space="preserve">Retail </w:t>
            </w:r>
            <w:r w:rsidR="00256A2D">
              <w:rPr>
                <w:rFonts w:ascii="Arial Black" w:hAnsi="Arial Black" w:cs="Arial"/>
                <w:szCs w:val="24"/>
              </w:rPr>
              <w:t xml:space="preserve"> </w:t>
            </w:r>
          </w:p>
        </w:tc>
        <w:tc>
          <w:tcPr>
            <w:tcW w:w="3096" w:type="dxa"/>
          </w:tcPr>
          <w:p w14:paraId="7212273D" w14:textId="77777777" w:rsidR="00A80FD7" w:rsidRPr="009F1DB2" w:rsidRDefault="00A80FD7" w:rsidP="00A4692F">
            <w:pPr>
              <w:pStyle w:val="BodyText"/>
              <w:jc w:val="left"/>
              <w:rPr>
                <w:rFonts w:ascii="Arial" w:hAnsi="Arial" w:cs="Arial"/>
                <w:szCs w:val="24"/>
              </w:rPr>
            </w:pPr>
          </w:p>
        </w:tc>
      </w:tr>
      <w:tr w:rsidR="00A80FD7" w:rsidRPr="009F1DB2" w14:paraId="3D0BBB73" w14:textId="77777777" w:rsidTr="00A4692F">
        <w:tc>
          <w:tcPr>
            <w:tcW w:w="6771" w:type="dxa"/>
          </w:tcPr>
          <w:p w14:paraId="480E5C9F" w14:textId="6C1CB5DC" w:rsidR="00A80FD7" w:rsidRPr="009F1DB2" w:rsidRDefault="00A80FD7" w:rsidP="00CA0ED3">
            <w:pPr>
              <w:pStyle w:val="BodyText"/>
              <w:ind w:left="426"/>
              <w:jc w:val="left"/>
              <w:rPr>
                <w:rFonts w:ascii="Arial" w:hAnsi="Arial" w:cs="Arial"/>
                <w:szCs w:val="24"/>
              </w:rPr>
            </w:pPr>
            <w:r w:rsidRPr="009F1DB2">
              <w:rPr>
                <w:rFonts w:ascii="Arial" w:hAnsi="Arial" w:cs="Arial"/>
                <w:szCs w:val="24"/>
              </w:rPr>
              <w:t xml:space="preserve">Both Authorities’ strategies focus on the need to maintain / create vibrant and diverse town, </w:t>
            </w:r>
            <w:r w:rsidR="0042679C" w:rsidRPr="009F1DB2">
              <w:rPr>
                <w:rFonts w:ascii="Arial" w:hAnsi="Arial" w:cs="Arial"/>
                <w:szCs w:val="24"/>
              </w:rPr>
              <w:t>district,</w:t>
            </w:r>
            <w:r w:rsidRPr="009F1DB2">
              <w:rPr>
                <w:rFonts w:ascii="Arial" w:hAnsi="Arial" w:cs="Arial"/>
                <w:szCs w:val="24"/>
              </w:rPr>
              <w:t xml:space="preserve"> and local centres. </w:t>
            </w:r>
            <w:r w:rsidR="00752230">
              <w:rPr>
                <w:rFonts w:ascii="Arial" w:hAnsi="Arial" w:cs="Arial"/>
                <w:szCs w:val="24"/>
              </w:rPr>
              <w:t xml:space="preserve">Retail provision in both Authorities </w:t>
            </w:r>
            <w:r w:rsidR="00830FFF">
              <w:rPr>
                <w:rFonts w:ascii="Arial" w:hAnsi="Arial" w:cs="Arial"/>
                <w:szCs w:val="24"/>
              </w:rPr>
              <w:t xml:space="preserve">is identified through the retail hierarchy with Carmarthenshire’s </w:t>
            </w:r>
            <w:r w:rsidR="00F87D40">
              <w:rPr>
                <w:rFonts w:ascii="Arial" w:hAnsi="Arial" w:cs="Arial"/>
                <w:szCs w:val="24"/>
              </w:rPr>
              <w:t>hierarchy</w:t>
            </w:r>
            <w:r w:rsidR="00830FFF">
              <w:rPr>
                <w:rFonts w:ascii="Arial" w:hAnsi="Arial" w:cs="Arial"/>
                <w:szCs w:val="24"/>
              </w:rPr>
              <w:t xml:space="preserve"> being based on </w:t>
            </w:r>
            <w:r w:rsidR="00CA0ED3">
              <w:rPr>
                <w:rFonts w:ascii="Arial" w:hAnsi="Arial" w:cs="Arial"/>
                <w:szCs w:val="24"/>
              </w:rPr>
              <w:t>Sub Regional- High Order Town Centres, Mid Order Town Centres and Lower Order Town Centres.</w:t>
            </w:r>
          </w:p>
        </w:tc>
        <w:tc>
          <w:tcPr>
            <w:tcW w:w="3096" w:type="dxa"/>
          </w:tcPr>
          <w:p w14:paraId="6A042BA8" w14:textId="77777777" w:rsidR="00A80FD7" w:rsidRPr="009F1DB2" w:rsidRDefault="00A80FD7" w:rsidP="00752230">
            <w:pPr>
              <w:pStyle w:val="BodyText"/>
              <w:jc w:val="left"/>
              <w:rPr>
                <w:rFonts w:ascii="Arial" w:hAnsi="Arial" w:cs="Arial"/>
                <w:szCs w:val="24"/>
              </w:rPr>
            </w:pPr>
            <w:r w:rsidRPr="009F1DB2">
              <w:rPr>
                <w:rFonts w:ascii="Arial Black" w:hAnsi="Arial Black" w:cs="Arial"/>
                <w:szCs w:val="24"/>
              </w:rPr>
              <w:t>Support</w:t>
            </w:r>
            <w:r w:rsidRPr="009F1DB2">
              <w:rPr>
                <w:rFonts w:ascii="Arial" w:hAnsi="Arial" w:cs="Arial"/>
                <w:szCs w:val="24"/>
              </w:rPr>
              <w:t xml:space="preserve"> </w:t>
            </w:r>
            <w:r w:rsidR="00752230">
              <w:rPr>
                <w:rFonts w:ascii="Arial" w:hAnsi="Arial" w:cs="Arial"/>
                <w:szCs w:val="24"/>
              </w:rPr>
              <w:t>SP 2 Retail and Town Centres</w:t>
            </w:r>
          </w:p>
        </w:tc>
      </w:tr>
      <w:tr w:rsidR="00A80FD7" w:rsidRPr="009F1DB2" w14:paraId="01A4EB5B" w14:textId="77777777" w:rsidTr="00A4692F">
        <w:tc>
          <w:tcPr>
            <w:tcW w:w="6771" w:type="dxa"/>
          </w:tcPr>
          <w:p w14:paraId="06230871" w14:textId="77777777" w:rsidR="00A80FD7" w:rsidRPr="009F1DB2" w:rsidRDefault="00A80FD7" w:rsidP="00F02149">
            <w:pPr>
              <w:pStyle w:val="BodyText"/>
              <w:jc w:val="left"/>
              <w:rPr>
                <w:rFonts w:ascii="Arial Black" w:hAnsi="Arial Black" w:cs="Arial"/>
                <w:szCs w:val="24"/>
              </w:rPr>
            </w:pPr>
            <w:r w:rsidRPr="009F1DB2">
              <w:rPr>
                <w:rFonts w:ascii="Arial Black" w:hAnsi="Arial Black" w:cs="Arial"/>
                <w:szCs w:val="24"/>
              </w:rPr>
              <w:t>Renewable Energy</w:t>
            </w:r>
            <w:r w:rsidR="00CE28BC">
              <w:rPr>
                <w:rFonts w:ascii="Arial Black" w:hAnsi="Arial Black" w:cs="Arial"/>
                <w:szCs w:val="24"/>
              </w:rPr>
              <w:t xml:space="preserve"> </w:t>
            </w:r>
            <w:r w:rsidR="00F02149">
              <w:rPr>
                <w:rFonts w:ascii="Arial Black" w:hAnsi="Arial Black" w:cs="Arial"/>
                <w:szCs w:val="24"/>
              </w:rPr>
              <w:t xml:space="preserve"> </w:t>
            </w:r>
          </w:p>
        </w:tc>
        <w:tc>
          <w:tcPr>
            <w:tcW w:w="3096" w:type="dxa"/>
          </w:tcPr>
          <w:p w14:paraId="09078C7A" w14:textId="77777777" w:rsidR="00A80FD7" w:rsidRPr="009F1DB2" w:rsidRDefault="00A80FD7" w:rsidP="00A4692F">
            <w:pPr>
              <w:pStyle w:val="BodyText"/>
              <w:jc w:val="left"/>
              <w:rPr>
                <w:rFonts w:ascii="Arial Black" w:hAnsi="Arial Black" w:cs="Arial"/>
                <w:szCs w:val="24"/>
              </w:rPr>
            </w:pPr>
          </w:p>
        </w:tc>
      </w:tr>
      <w:tr w:rsidR="00A80FD7" w:rsidRPr="009F1DB2" w14:paraId="3188D2B6" w14:textId="77777777" w:rsidTr="00A4692F">
        <w:tc>
          <w:tcPr>
            <w:tcW w:w="6771" w:type="dxa"/>
          </w:tcPr>
          <w:p w14:paraId="2EE5BD07" w14:textId="77777777" w:rsidR="00594CC6" w:rsidRDefault="00076625" w:rsidP="00A4692F">
            <w:pPr>
              <w:pStyle w:val="BodyText"/>
              <w:ind w:left="426"/>
              <w:jc w:val="left"/>
              <w:rPr>
                <w:rFonts w:ascii="Arial" w:hAnsi="Arial" w:cs="Arial"/>
                <w:szCs w:val="24"/>
              </w:rPr>
            </w:pPr>
            <w:r>
              <w:rPr>
                <w:rFonts w:ascii="Arial" w:hAnsi="Arial" w:cs="Arial"/>
                <w:szCs w:val="24"/>
              </w:rPr>
              <w:t>Both plans have regard to the need to generate more electricity from rene</w:t>
            </w:r>
            <w:r w:rsidR="00170C44">
              <w:rPr>
                <w:rFonts w:ascii="Arial" w:hAnsi="Arial" w:cs="Arial"/>
                <w:szCs w:val="24"/>
              </w:rPr>
              <w:t>wable sources. P</w:t>
            </w:r>
            <w:r w:rsidR="00B55A43">
              <w:rPr>
                <w:rFonts w:ascii="Arial" w:hAnsi="Arial" w:cs="Arial"/>
                <w:szCs w:val="24"/>
              </w:rPr>
              <w:t>embrokeshire Coast National Park Authority</w:t>
            </w:r>
            <w:r w:rsidR="00170C44">
              <w:rPr>
                <w:rFonts w:ascii="Arial" w:hAnsi="Arial" w:cs="Arial"/>
                <w:szCs w:val="24"/>
              </w:rPr>
              <w:t xml:space="preserve"> has a renewable energy strategy policy seeking the delivery of appropriate renewable energy developments. </w:t>
            </w:r>
          </w:p>
          <w:p w14:paraId="3E918D83" w14:textId="77777777" w:rsidR="00594CC6" w:rsidRDefault="00594CC6" w:rsidP="00A4692F">
            <w:pPr>
              <w:pStyle w:val="BodyText"/>
              <w:ind w:left="426"/>
              <w:jc w:val="left"/>
              <w:rPr>
                <w:rFonts w:ascii="Arial" w:hAnsi="Arial" w:cs="Arial"/>
                <w:szCs w:val="24"/>
              </w:rPr>
            </w:pPr>
          </w:p>
          <w:p w14:paraId="70EEA301" w14:textId="77777777" w:rsidR="00C20A6B" w:rsidRDefault="00C20A6B" w:rsidP="00A4692F">
            <w:pPr>
              <w:pStyle w:val="BodyText"/>
              <w:ind w:left="426"/>
              <w:jc w:val="left"/>
              <w:rPr>
                <w:rFonts w:ascii="Arial" w:hAnsi="Arial" w:cs="Arial"/>
                <w:szCs w:val="24"/>
              </w:rPr>
            </w:pPr>
            <w:r>
              <w:rPr>
                <w:rFonts w:ascii="Arial" w:hAnsi="Arial" w:cs="Arial"/>
                <w:szCs w:val="24"/>
              </w:rPr>
              <w:t xml:space="preserve">Both Authorities implement joint guidance on assessing the cumulative impact of wind turbines </w:t>
            </w:r>
          </w:p>
          <w:p w14:paraId="0DF05FBE" w14:textId="77777777" w:rsidR="00EF0440" w:rsidRDefault="00EF0440" w:rsidP="00A4692F">
            <w:pPr>
              <w:pStyle w:val="BodyText"/>
              <w:ind w:left="426"/>
              <w:jc w:val="left"/>
              <w:rPr>
                <w:rFonts w:ascii="Arial" w:hAnsi="Arial" w:cs="Arial"/>
                <w:szCs w:val="24"/>
              </w:rPr>
            </w:pPr>
          </w:p>
          <w:p w14:paraId="5995B199" w14:textId="77777777" w:rsidR="00C20A6B" w:rsidRDefault="00C20A6B" w:rsidP="00A4692F">
            <w:pPr>
              <w:pStyle w:val="BodyText"/>
              <w:ind w:left="426"/>
              <w:jc w:val="left"/>
              <w:rPr>
                <w:rFonts w:ascii="Arial" w:hAnsi="Arial" w:cs="Arial"/>
                <w:szCs w:val="24"/>
              </w:rPr>
            </w:pPr>
            <w:r>
              <w:rPr>
                <w:rFonts w:ascii="Arial" w:hAnsi="Arial" w:cs="Arial"/>
                <w:szCs w:val="24"/>
              </w:rPr>
              <w:t xml:space="preserve">It would be useful to confirm if Carmarthenshire intends </w:t>
            </w:r>
            <w:r>
              <w:rPr>
                <w:rFonts w:ascii="Arial" w:hAnsi="Arial" w:cs="Arial"/>
                <w:szCs w:val="24"/>
              </w:rPr>
              <w:lastRenderedPageBreak/>
              <w:t>to bring forward the Cumulative Impact of Turbine Guidance in the replacement Local Development Plan.</w:t>
            </w:r>
          </w:p>
          <w:p w14:paraId="5ECB0F8D" w14:textId="77777777" w:rsidR="00C20A6B" w:rsidRDefault="00C20A6B" w:rsidP="00A4692F">
            <w:pPr>
              <w:pStyle w:val="BodyText"/>
              <w:ind w:left="426"/>
              <w:jc w:val="left"/>
              <w:rPr>
                <w:rFonts w:ascii="Arial" w:hAnsi="Arial" w:cs="Arial"/>
                <w:szCs w:val="24"/>
              </w:rPr>
            </w:pPr>
          </w:p>
          <w:p w14:paraId="2F206D50" w14:textId="0F25AA25" w:rsidR="00A80FD7" w:rsidRDefault="00170C44" w:rsidP="00A4692F">
            <w:pPr>
              <w:pStyle w:val="BodyText"/>
              <w:ind w:left="426"/>
              <w:jc w:val="left"/>
              <w:rPr>
                <w:rFonts w:ascii="Arial" w:hAnsi="Arial" w:cs="Arial"/>
                <w:szCs w:val="24"/>
              </w:rPr>
            </w:pPr>
            <w:r>
              <w:rPr>
                <w:rFonts w:ascii="Arial" w:hAnsi="Arial" w:cs="Arial"/>
                <w:szCs w:val="24"/>
              </w:rPr>
              <w:t>Carmarthenshire includes renewable energy as part of Strategic Policy 1</w:t>
            </w:r>
            <w:r w:rsidR="00C10A86">
              <w:rPr>
                <w:rFonts w:ascii="Arial" w:hAnsi="Arial" w:cs="Arial"/>
                <w:szCs w:val="24"/>
              </w:rPr>
              <w:t>6</w:t>
            </w:r>
            <w:r>
              <w:rPr>
                <w:rFonts w:ascii="Arial" w:hAnsi="Arial" w:cs="Arial"/>
                <w:szCs w:val="24"/>
              </w:rPr>
              <w:t>: Climate Change</w:t>
            </w:r>
            <w:r w:rsidR="00D5394D">
              <w:rPr>
                <w:rFonts w:ascii="Arial" w:hAnsi="Arial" w:cs="Arial"/>
                <w:szCs w:val="24"/>
              </w:rPr>
              <w:t xml:space="preserve"> (part</w:t>
            </w:r>
            <w:r w:rsidR="00C10A86">
              <w:rPr>
                <w:rFonts w:ascii="Arial" w:hAnsi="Arial" w:cs="Arial"/>
                <w:szCs w:val="24"/>
              </w:rPr>
              <w:t>s</w:t>
            </w:r>
            <w:r w:rsidR="00D5394D">
              <w:rPr>
                <w:rFonts w:ascii="Arial" w:hAnsi="Arial" w:cs="Arial"/>
                <w:szCs w:val="24"/>
              </w:rPr>
              <w:t xml:space="preserve"> c</w:t>
            </w:r>
            <w:r w:rsidR="00C10A86">
              <w:rPr>
                <w:rFonts w:ascii="Arial" w:hAnsi="Arial" w:cs="Arial"/>
                <w:szCs w:val="24"/>
              </w:rPr>
              <w:t xml:space="preserve"> and d</w:t>
            </w:r>
            <w:r w:rsidR="00D5394D">
              <w:rPr>
                <w:rFonts w:ascii="Arial" w:hAnsi="Arial" w:cs="Arial"/>
                <w:szCs w:val="24"/>
              </w:rPr>
              <w:t>),</w:t>
            </w:r>
            <w:r w:rsidR="00F02149">
              <w:rPr>
                <w:rFonts w:ascii="Arial" w:hAnsi="Arial" w:cs="Arial"/>
                <w:szCs w:val="24"/>
              </w:rPr>
              <w:t xml:space="preserve"> and </w:t>
            </w:r>
            <w:r w:rsidR="00C10A86">
              <w:rPr>
                <w:rFonts w:ascii="Arial" w:hAnsi="Arial" w:cs="Arial"/>
                <w:szCs w:val="24"/>
              </w:rPr>
              <w:t xml:space="preserve">both </w:t>
            </w:r>
            <w:r w:rsidR="0019061A">
              <w:rPr>
                <w:rFonts w:ascii="Arial" w:hAnsi="Arial" w:cs="Arial"/>
                <w:szCs w:val="24"/>
              </w:rPr>
              <w:t>CCH1: Renewable Energy</w:t>
            </w:r>
            <w:r w:rsidR="00C10A86">
              <w:rPr>
                <w:rFonts w:ascii="Arial" w:hAnsi="Arial" w:cs="Arial"/>
                <w:szCs w:val="24"/>
              </w:rPr>
              <w:t xml:space="preserve"> within Pre-Assessed Areas and Local search Areas and CCH”: Renewable Energy Outside Pre-Assessed Areas and Local Search Areas. </w:t>
            </w:r>
            <w:r w:rsidR="005521E8">
              <w:rPr>
                <w:rFonts w:ascii="Arial" w:hAnsi="Arial" w:cs="Arial"/>
                <w:szCs w:val="24"/>
              </w:rPr>
              <w:t>Whilst Pembrokeshire does not have Local Search Areas, t</w:t>
            </w:r>
            <w:r w:rsidR="00EF0440">
              <w:rPr>
                <w:rFonts w:ascii="Arial" w:hAnsi="Arial" w:cs="Arial"/>
                <w:szCs w:val="24"/>
              </w:rPr>
              <w:t>hese policies</w:t>
            </w:r>
            <w:r w:rsidR="00F02149">
              <w:rPr>
                <w:rFonts w:ascii="Arial" w:hAnsi="Arial" w:cs="Arial"/>
                <w:szCs w:val="24"/>
              </w:rPr>
              <w:t xml:space="preserve"> </w:t>
            </w:r>
            <w:r w:rsidR="00EF0440">
              <w:rPr>
                <w:rFonts w:ascii="Arial" w:hAnsi="Arial" w:cs="Arial"/>
                <w:szCs w:val="24"/>
              </w:rPr>
              <w:t>are</w:t>
            </w:r>
            <w:r w:rsidR="0019061A">
              <w:rPr>
                <w:rFonts w:ascii="Arial" w:hAnsi="Arial" w:cs="Arial"/>
                <w:szCs w:val="24"/>
              </w:rPr>
              <w:t xml:space="preserve"> broadly in line with </w:t>
            </w:r>
            <w:r w:rsidR="00F02149">
              <w:rPr>
                <w:rFonts w:ascii="Arial" w:hAnsi="Arial" w:cs="Arial"/>
                <w:szCs w:val="24"/>
              </w:rPr>
              <w:t>this Authority’s</w:t>
            </w:r>
            <w:r w:rsidR="0019061A">
              <w:rPr>
                <w:rFonts w:ascii="Arial" w:hAnsi="Arial" w:cs="Arial"/>
                <w:szCs w:val="24"/>
              </w:rPr>
              <w:t xml:space="preserve"> Renewable and Low Carbon Energy policy.</w:t>
            </w:r>
          </w:p>
          <w:p w14:paraId="32FD01E4" w14:textId="6FA97AD5" w:rsidR="00D86EB9" w:rsidRDefault="00D86EB9" w:rsidP="00A4692F">
            <w:pPr>
              <w:pStyle w:val="BodyText"/>
              <w:ind w:left="426"/>
              <w:jc w:val="left"/>
              <w:rPr>
                <w:rFonts w:ascii="Arial" w:hAnsi="Arial" w:cs="Arial"/>
                <w:szCs w:val="24"/>
              </w:rPr>
            </w:pPr>
            <w:r>
              <w:rPr>
                <w:rFonts w:ascii="Arial" w:hAnsi="Arial" w:cs="Arial"/>
                <w:szCs w:val="24"/>
              </w:rPr>
              <w:t xml:space="preserve">LSA for solar is shown on the Proposals map and it is considered that none </w:t>
            </w:r>
            <w:r w:rsidR="00FD4E25">
              <w:rPr>
                <w:rFonts w:ascii="Arial" w:hAnsi="Arial" w:cs="Arial"/>
                <w:szCs w:val="24"/>
              </w:rPr>
              <w:t xml:space="preserve">of these </w:t>
            </w:r>
            <w:r>
              <w:rPr>
                <w:rFonts w:ascii="Arial" w:hAnsi="Arial" w:cs="Arial"/>
                <w:szCs w:val="24"/>
              </w:rPr>
              <w:t>are likely to have an impact on the Pembrokeshire Coast National Park.</w:t>
            </w:r>
          </w:p>
          <w:p w14:paraId="66BCA487" w14:textId="15A5077C" w:rsidR="00E31D56" w:rsidRPr="009F1DB2" w:rsidRDefault="00E31D56" w:rsidP="00EF0440">
            <w:pPr>
              <w:pStyle w:val="BodyText"/>
              <w:ind w:left="426"/>
              <w:jc w:val="left"/>
              <w:rPr>
                <w:rFonts w:ascii="Arial" w:hAnsi="Arial" w:cs="Arial"/>
                <w:szCs w:val="24"/>
              </w:rPr>
            </w:pPr>
          </w:p>
        </w:tc>
        <w:tc>
          <w:tcPr>
            <w:tcW w:w="3096" w:type="dxa"/>
          </w:tcPr>
          <w:p w14:paraId="6E00BFE2" w14:textId="0608AB6C" w:rsidR="00A80FD7" w:rsidRDefault="00A80FD7" w:rsidP="00A4692F">
            <w:pPr>
              <w:pStyle w:val="BodyText"/>
              <w:jc w:val="left"/>
              <w:rPr>
                <w:rFonts w:ascii="Arial" w:hAnsi="Arial" w:cs="Arial"/>
                <w:szCs w:val="24"/>
              </w:rPr>
            </w:pPr>
            <w:r w:rsidRPr="009F1DB2">
              <w:rPr>
                <w:rFonts w:ascii="Arial Black" w:hAnsi="Arial Black" w:cs="Arial"/>
                <w:szCs w:val="24"/>
              </w:rPr>
              <w:lastRenderedPageBreak/>
              <w:t xml:space="preserve">Support </w:t>
            </w:r>
            <w:r w:rsidR="00BD1C18">
              <w:rPr>
                <w:rFonts w:ascii="Arial" w:hAnsi="Arial" w:cs="Arial"/>
                <w:szCs w:val="24"/>
              </w:rPr>
              <w:t>SP 15 Climate Change</w:t>
            </w:r>
            <w:r w:rsidR="00EF0440">
              <w:rPr>
                <w:rFonts w:ascii="Arial" w:hAnsi="Arial" w:cs="Arial"/>
                <w:szCs w:val="24"/>
              </w:rPr>
              <w:t xml:space="preserve"> </w:t>
            </w:r>
            <w:r w:rsidR="0019061A">
              <w:rPr>
                <w:rFonts w:ascii="Arial" w:hAnsi="Arial" w:cs="Arial"/>
                <w:szCs w:val="24"/>
              </w:rPr>
              <w:t>and CCH1</w:t>
            </w:r>
            <w:r w:rsidR="005521E8">
              <w:rPr>
                <w:rFonts w:ascii="Arial" w:hAnsi="Arial" w:cs="Arial"/>
                <w:szCs w:val="24"/>
              </w:rPr>
              <w:t xml:space="preserve"> / CCH2</w:t>
            </w:r>
          </w:p>
          <w:p w14:paraId="2DCE3012" w14:textId="77777777" w:rsidR="00E31D56" w:rsidRDefault="00E31D56" w:rsidP="00A4692F">
            <w:pPr>
              <w:pStyle w:val="BodyText"/>
              <w:jc w:val="left"/>
              <w:rPr>
                <w:rFonts w:ascii="Arial" w:hAnsi="Arial" w:cs="Arial"/>
                <w:szCs w:val="24"/>
              </w:rPr>
            </w:pPr>
          </w:p>
          <w:p w14:paraId="3EEE2622" w14:textId="77777777" w:rsidR="00A80FD7" w:rsidRPr="009F1DB2" w:rsidRDefault="00A80FD7" w:rsidP="00A4692F">
            <w:pPr>
              <w:pStyle w:val="BodyText"/>
              <w:jc w:val="left"/>
              <w:rPr>
                <w:rFonts w:ascii="Arial Black" w:hAnsi="Arial Black" w:cs="Arial"/>
                <w:szCs w:val="24"/>
              </w:rPr>
            </w:pPr>
          </w:p>
          <w:p w14:paraId="5139CD61" w14:textId="77777777" w:rsidR="00A80FD7" w:rsidRPr="009F1DB2" w:rsidRDefault="00A80FD7" w:rsidP="00A4692F">
            <w:pPr>
              <w:pStyle w:val="BodyText"/>
              <w:jc w:val="left"/>
              <w:rPr>
                <w:rFonts w:ascii="Arial Black" w:hAnsi="Arial Black" w:cs="Arial"/>
                <w:szCs w:val="24"/>
              </w:rPr>
            </w:pPr>
          </w:p>
        </w:tc>
      </w:tr>
      <w:tr w:rsidR="00A80FD7" w:rsidRPr="009F1DB2" w14:paraId="5192DDE7" w14:textId="77777777" w:rsidTr="00A30E75">
        <w:trPr>
          <w:trHeight w:val="398"/>
        </w:trPr>
        <w:tc>
          <w:tcPr>
            <w:tcW w:w="6771" w:type="dxa"/>
          </w:tcPr>
          <w:p w14:paraId="034E6840" w14:textId="5DED6749" w:rsidR="00A80FD7" w:rsidRPr="00A30E75" w:rsidRDefault="00A80FD7" w:rsidP="00A30E75">
            <w:pPr>
              <w:pStyle w:val="BodyText"/>
              <w:ind w:left="426"/>
              <w:rPr>
                <w:rFonts w:ascii="Arial Black" w:hAnsi="Arial Black" w:cs="Arial"/>
                <w:szCs w:val="24"/>
              </w:rPr>
            </w:pPr>
            <w:r w:rsidRPr="009870B8">
              <w:rPr>
                <w:rFonts w:ascii="Arial Black" w:hAnsi="Arial Black" w:cs="Arial"/>
                <w:szCs w:val="24"/>
              </w:rPr>
              <w:t>Environment</w:t>
            </w:r>
            <w:r w:rsidRPr="009F1DB2">
              <w:rPr>
                <w:rFonts w:ascii="Arial Black" w:hAnsi="Arial Black" w:cs="Arial"/>
                <w:szCs w:val="24"/>
              </w:rPr>
              <w:t xml:space="preserve"> </w:t>
            </w:r>
            <w:r w:rsidR="00256A2D">
              <w:rPr>
                <w:rFonts w:ascii="Arial Black" w:hAnsi="Arial Black" w:cs="Arial"/>
                <w:szCs w:val="24"/>
              </w:rPr>
              <w:t xml:space="preserve"> </w:t>
            </w:r>
          </w:p>
        </w:tc>
        <w:tc>
          <w:tcPr>
            <w:tcW w:w="3096" w:type="dxa"/>
          </w:tcPr>
          <w:p w14:paraId="7201FEA4" w14:textId="77777777" w:rsidR="00A80FD7" w:rsidRPr="009F1DB2" w:rsidRDefault="00A80FD7" w:rsidP="00A4692F">
            <w:pPr>
              <w:pStyle w:val="BodyText"/>
              <w:jc w:val="left"/>
              <w:rPr>
                <w:rFonts w:ascii="Arial Black" w:hAnsi="Arial Black" w:cs="Arial"/>
                <w:szCs w:val="24"/>
              </w:rPr>
            </w:pPr>
          </w:p>
        </w:tc>
      </w:tr>
      <w:tr w:rsidR="00A80FD7" w:rsidRPr="009F1DB2" w14:paraId="193FC788" w14:textId="77777777" w:rsidTr="00A4692F">
        <w:tc>
          <w:tcPr>
            <w:tcW w:w="6771" w:type="dxa"/>
          </w:tcPr>
          <w:p w14:paraId="0A57CF4C" w14:textId="77777777" w:rsidR="00A80FD7" w:rsidRPr="009F1DB2" w:rsidRDefault="00A80FD7" w:rsidP="00A4692F">
            <w:pPr>
              <w:pStyle w:val="BodyText"/>
              <w:ind w:left="426"/>
              <w:jc w:val="left"/>
              <w:rPr>
                <w:rFonts w:ascii="Arial" w:hAnsi="Arial" w:cs="Arial"/>
                <w:szCs w:val="24"/>
              </w:rPr>
            </w:pPr>
            <w:r w:rsidRPr="009F1DB2">
              <w:rPr>
                <w:rFonts w:ascii="Arial" w:hAnsi="Arial" w:cs="Arial"/>
                <w:szCs w:val="24"/>
              </w:rPr>
              <w:t>Both Plans seek to ensure that the</w:t>
            </w:r>
            <w:r w:rsidR="00594CC6">
              <w:rPr>
                <w:rFonts w:ascii="Arial" w:hAnsi="Arial" w:cs="Arial"/>
                <w:szCs w:val="24"/>
              </w:rPr>
              <w:t xml:space="preserve">ir Plan areas </w:t>
            </w:r>
            <w:r w:rsidRPr="009F1DB2">
              <w:rPr>
                <w:rFonts w:ascii="Arial" w:hAnsi="Arial" w:cs="Arial"/>
                <w:szCs w:val="24"/>
              </w:rPr>
              <w:t xml:space="preserve">natural and historic environment and landscape will be protected from inappropriate development and, where possible, enhanced. </w:t>
            </w:r>
          </w:p>
          <w:p w14:paraId="65B84B0F" w14:textId="77777777" w:rsidR="00A80FD7" w:rsidRPr="009F1DB2" w:rsidRDefault="00A80FD7" w:rsidP="00A4692F">
            <w:pPr>
              <w:pStyle w:val="BodyText"/>
              <w:ind w:left="426"/>
              <w:jc w:val="left"/>
              <w:rPr>
                <w:rFonts w:ascii="Arial" w:hAnsi="Arial" w:cs="Arial"/>
                <w:szCs w:val="24"/>
              </w:rPr>
            </w:pPr>
          </w:p>
          <w:p w14:paraId="103656BB" w14:textId="77777777" w:rsidR="00A80FD7" w:rsidRPr="009F1DB2" w:rsidRDefault="00A80FD7" w:rsidP="00A4692F">
            <w:pPr>
              <w:pStyle w:val="BodyText"/>
              <w:ind w:left="426"/>
              <w:jc w:val="left"/>
              <w:rPr>
                <w:rFonts w:ascii="Arial" w:hAnsi="Arial" w:cs="Arial"/>
                <w:szCs w:val="24"/>
              </w:rPr>
            </w:pPr>
          </w:p>
          <w:p w14:paraId="0FA9F0AB" w14:textId="77777777" w:rsidR="00A80FD7" w:rsidRPr="009F1DB2" w:rsidRDefault="00A80FD7">
            <w:pPr>
              <w:pStyle w:val="BodyText"/>
              <w:ind w:left="426"/>
              <w:jc w:val="left"/>
              <w:rPr>
                <w:rFonts w:ascii="Arial" w:hAnsi="Arial" w:cs="Arial"/>
                <w:szCs w:val="24"/>
              </w:rPr>
            </w:pPr>
            <w:r w:rsidRPr="009F1DB2">
              <w:rPr>
                <w:rFonts w:ascii="Arial" w:hAnsi="Arial" w:cs="Arial"/>
                <w:szCs w:val="24"/>
              </w:rPr>
              <w:t>The Welsh language which continues to be an important component in the social, cultural and economic life of many communities will be protected and supported by managing development sensitively in areas where it has a significant role in the community.</w:t>
            </w:r>
            <w:r w:rsidR="00FE586D" w:rsidRPr="009F1DB2" w:rsidDel="00FE586D">
              <w:rPr>
                <w:rFonts w:ascii="Arial" w:hAnsi="Arial" w:cs="Arial"/>
                <w:szCs w:val="24"/>
              </w:rPr>
              <w:t xml:space="preserve"> </w:t>
            </w:r>
          </w:p>
        </w:tc>
        <w:tc>
          <w:tcPr>
            <w:tcW w:w="3096" w:type="dxa"/>
          </w:tcPr>
          <w:p w14:paraId="17E2229A" w14:textId="77777777" w:rsidR="00FD4E25" w:rsidRDefault="00A80FD7" w:rsidP="00A4692F">
            <w:pPr>
              <w:pStyle w:val="BodyText"/>
              <w:jc w:val="left"/>
              <w:rPr>
                <w:rFonts w:ascii="Arial" w:hAnsi="Arial" w:cs="Arial"/>
                <w:szCs w:val="24"/>
              </w:rPr>
            </w:pPr>
            <w:r w:rsidRPr="009F1DB2">
              <w:rPr>
                <w:rFonts w:ascii="Arial Black" w:hAnsi="Arial Black" w:cs="Arial"/>
                <w:szCs w:val="24"/>
              </w:rPr>
              <w:t xml:space="preserve">Support </w:t>
            </w:r>
            <w:r w:rsidR="00D825DE" w:rsidRPr="009F1DB2">
              <w:rPr>
                <w:rFonts w:ascii="Arial" w:hAnsi="Arial" w:cs="Arial"/>
                <w:szCs w:val="24"/>
              </w:rPr>
              <w:t>SP</w:t>
            </w:r>
            <w:r w:rsidR="00D825DE">
              <w:rPr>
                <w:rFonts w:ascii="Arial" w:hAnsi="Arial" w:cs="Arial"/>
                <w:szCs w:val="24"/>
              </w:rPr>
              <w:t xml:space="preserve">8 </w:t>
            </w:r>
            <w:r w:rsidRPr="009F1DB2">
              <w:rPr>
                <w:rFonts w:ascii="Arial" w:hAnsi="Arial" w:cs="Arial"/>
                <w:szCs w:val="24"/>
              </w:rPr>
              <w:t>Welsh Language</w:t>
            </w:r>
            <w:r w:rsidR="00D825DE">
              <w:rPr>
                <w:rFonts w:ascii="Arial" w:hAnsi="Arial" w:cs="Arial"/>
                <w:szCs w:val="24"/>
              </w:rPr>
              <w:t xml:space="preserve"> and WL1 Welsh Language and New Developments</w:t>
            </w:r>
            <w:r w:rsidRPr="009F1DB2">
              <w:rPr>
                <w:rFonts w:ascii="Arial" w:hAnsi="Arial" w:cs="Arial"/>
                <w:szCs w:val="24"/>
              </w:rPr>
              <w:t xml:space="preserve">, </w:t>
            </w:r>
            <w:r w:rsidR="008D1112">
              <w:rPr>
                <w:rFonts w:ascii="Arial" w:hAnsi="Arial" w:cs="Arial"/>
                <w:szCs w:val="24"/>
              </w:rPr>
              <w:t xml:space="preserve">SP14 </w:t>
            </w:r>
          </w:p>
          <w:p w14:paraId="55FE5105" w14:textId="30751386" w:rsidR="00FD4E25" w:rsidRDefault="00FD4E25" w:rsidP="00A4692F">
            <w:pPr>
              <w:pStyle w:val="BodyText"/>
              <w:jc w:val="left"/>
              <w:rPr>
                <w:rFonts w:ascii="Arial" w:hAnsi="Arial" w:cs="Arial"/>
                <w:szCs w:val="24"/>
              </w:rPr>
            </w:pPr>
            <w:r w:rsidRPr="00FD4E25">
              <w:rPr>
                <w:rFonts w:ascii="Arial" w:hAnsi="Arial" w:cs="Arial"/>
                <w:szCs w:val="24"/>
              </w:rPr>
              <w:t>PSD3: Green and Blue Infrastructure Network</w:t>
            </w:r>
          </w:p>
          <w:p w14:paraId="05829476" w14:textId="416DACA0" w:rsidR="00A80FD7" w:rsidRPr="009F1DB2" w:rsidRDefault="008D1112" w:rsidP="00A4692F">
            <w:pPr>
              <w:pStyle w:val="BodyText"/>
              <w:jc w:val="left"/>
              <w:rPr>
                <w:rFonts w:ascii="Arial" w:hAnsi="Arial" w:cs="Arial"/>
                <w:szCs w:val="24"/>
              </w:rPr>
            </w:pPr>
            <w:r>
              <w:rPr>
                <w:rFonts w:ascii="Arial" w:hAnsi="Arial" w:cs="Arial"/>
                <w:szCs w:val="24"/>
              </w:rPr>
              <w:t xml:space="preserve">Maintaining and Enhancing the Natural Environment. </w:t>
            </w:r>
            <w:r w:rsidR="00FE586D">
              <w:rPr>
                <w:rFonts w:ascii="Arial" w:hAnsi="Arial" w:cs="Arial"/>
                <w:szCs w:val="24"/>
              </w:rPr>
              <w:t xml:space="preserve">SP </w:t>
            </w:r>
            <w:r>
              <w:rPr>
                <w:rFonts w:ascii="Arial" w:hAnsi="Arial" w:cs="Arial"/>
                <w:szCs w:val="24"/>
              </w:rPr>
              <w:t xml:space="preserve">15 </w:t>
            </w:r>
            <w:r w:rsidR="00FE586D">
              <w:rPr>
                <w:rFonts w:ascii="Arial" w:hAnsi="Arial" w:cs="Arial"/>
                <w:szCs w:val="24"/>
              </w:rPr>
              <w:t xml:space="preserve">Protection and Enhancement of the </w:t>
            </w:r>
            <w:r>
              <w:rPr>
                <w:rFonts w:ascii="Arial" w:hAnsi="Arial" w:cs="Arial"/>
                <w:szCs w:val="24"/>
              </w:rPr>
              <w:t xml:space="preserve">Built and Historic </w:t>
            </w:r>
            <w:r w:rsidR="009870B8">
              <w:rPr>
                <w:rFonts w:ascii="Arial" w:hAnsi="Arial" w:cs="Arial"/>
                <w:szCs w:val="24"/>
              </w:rPr>
              <w:t>Environment and</w:t>
            </w:r>
            <w:r>
              <w:rPr>
                <w:rFonts w:ascii="Arial" w:hAnsi="Arial" w:cs="Arial"/>
                <w:szCs w:val="24"/>
              </w:rPr>
              <w:t xml:space="preserve"> BHE2 Landscape Character. </w:t>
            </w:r>
            <w:r w:rsidR="00FE586D">
              <w:rPr>
                <w:rFonts w:ascii="Arial" w:hAnsi="Arial" w:cs="Arial"/>
                <w:szCs w:val="24"/>
              </w:rPr>
              <w:t xml:space="preserve">SP14 </w:t>
            </w:r>
            <w:r w:rsidR="00A776FC">
              <w:rPr>
                <w:rFonts w:ascii="Arial" w:hAnsi="Arial" w:cs="Arial"/>
                <w:szCs w:val="24"/>
              </w:rPr>
              <w:t xml:space="preserve">Maintaining </w:t>
            </w:r>
            <w:r w:rsidR="00FE586D">
              <w:rPr>
                <w:rFonts w:ascii="Arial" w:hAnsi="Arial" w:cs="Arial"/>
                <w:szCs w:val="24"/>
              </w:rPr>
              <w:t>and Enhancement of the Built and Historic Environment</w:t>
            </w:r>
            <w:r w:rsidR="00A80FD7" w:rsidRPr="009F1DB2">
              <w:rPr>
                <w:rFonts w:ascii="Arial" w:hAnsi="Arial" w:cs="Arial"/>
                <w:szCs w:val="24"/>
              </w:rPr>
              <w:t xml:space="preserve"> </w:t>
            </w:r>
          </w:p>
          <w:p w14:paraId="7D861927" w14:textId="77777777" w:rsidR="00A80FD7" w:rsidRPr="009F1DB2" w:rsidRDefault="00A80FD7" w:rsidP="00A4692F">
            <w:pPr>
              <w:pStyle w:val="BodyText"/>
              <w:jc w:val="left"/>
              <w:rPr>
                <w:rFonts w:ascii="Arial" w:hAnsi="Arial" w:cs="Arial"/>
                <w:szCs w:val="24"/>
              </w:rPr>
            </w:pPr>
          </w:p>
          <w:p w14:paraId="1C7FE668" w14:textId="77777777" w:rsidR="00A80FD7" w:rsidRPr="009F1DB2" w:rsidRDefault="00A80FD7" w:rsidP="00A4692F">
            <w:pPr>
              <w:pStyle w:val="BodyText"/>
              <w:jc w:val="left"/>
              <w:rPr>
                <w:rFonts w:ascii="Arial" w:hAnsi="Arial" w:cs="Arial"/>
                <w:szCs w:val="24"/>
              </w:rPr>
            </w:pPr>
            <w:r w:rsidRPr="009F1DB2">
              <w:rPr>
                <w:rFonts w:ascii="Arial Black" w:hAnsi="Arial Black" w:cs="Arial"/>
                <w:szCs w:val="24"/>
              </w:rPr>
              <w:t>Note</w:t>
            </w:r>
            <w:r w:rsidRPr="009F1DB2">
              <w:rPr>
                <w:rFonts w:ascii="Arial" w:hAnsi="Arial" w:cs="Arial"/>
                <w:szCs w:val="24"/>
              </w:rPr>
              <w:t xml:space="preserve"> </w:t>
            </w:r>
            <w:r w:rsidR="00FE586D">
              <w:rPr>
                <w:rFonts w:ascii="Arial" w:hAnsi="Arial" w:cs="Arial"/>
                <w:szCs w:val="24"/>
              </w:rPr>
              <w:t>See across for comment.</w:t>
            </w:r>
            <w:r w:rsidRPr="009F1DB2">
              <w:rPr>
                <w:rFonts w:ascii="Arial" w:hAnsi="Arial" w:cs="Arial"/>
                <w:szCs w:val="24"/>
              </w:rPr>
              <w:t xml:space="preserve">  </w:t>
            </w:r>
          </w:p>
          <w:p w14:paraId="0DD75760" w14:textId="77777777" w:rsidR="00A80FD7" w:rsidRPr="009F1DB2" w:rsidRDefault="00A80FD7" w:rsidP="00A4692F">
            <w:pPr>
              <w:pStyle w:val="BodyText"/>
              <w:jc w:val="left"/>
              <w:rPr>
                <w:rFonts w:ascii="Arial Black" w:hAnsi="Arial Black" w:cs="Arial"/>
                <w:szCs w:val="24"/>
              </w:rPr>
            </w:pPr>
          </w:p>
        </w:tc>
      </w:tr>
      <w:tr w:rsidR="00A776FC" w:rsidRPr="009F1DB2" w14:paraId="402211AE" w14:textId="77777777" w:rsidTr="00A4692F">
        <w:tc>
          <w:tcPr>
            <w:tcW w:w="6771" w:type="dxa"/>
          </w:tcPr>
          <w:p w14:paraId="626E9C88" w14:textId="7C1EABC9" w:rsidR="00A776FC" w:rsidRPr="009F1DB2" w:rsidRDefault="00A776FC" w:rsidP="00F02149">
            <w:pPr>
              <w:pStyle w:val="BodyText"/>
              <w:ind w:left="426"/>
              <w:rPr>
                <w:rFonts w:ascii="Arial Black" w:hAnsi="Arial Black" w:cs="Arial"/>
                <w:szCs w:val="24"/>
              </w:rPr>
            </w:pPr>
            <w:r>
              <w:rPr>
                <w:rFonts w:ascii="Arial Black" w:hAnsi="Arial Black" w:cs="Arial"/>
                <w:szCs w:val="24"/>
              </w:rPr>
              <w:t xml:space="preserve">Regional Working  </w:t>
            </w:r>
          </w:p>
        </w:tc>
        <w:tc>
          <w:tcPr>
            <w:tcW w:w="3096" w:type="dxa"/>
          </w:tcPr>
          <w:p w14:paraId="487809F0" w14:textId="77777777" w:rsidR="00A776FC" w:rsidRPr="009F1DB2" w:rsidRDefault="00A776FC" w:rsidP="00A4692F">
            <w:pPr>
              <w:pStyle w:val="BodyText"/>
              <w:jc w:val="left"/>
              <w:rPr>
                <w:rFonts w:ascii="Arial Black" w:hAnsi="Arial Black" w:cs="Arial"/>
                <w:szCs w:val="24"/>
              </w:rPr>
            </w:pPr>
          </w:p>
        </w:tc>
      </w:tr>
      <w:tr w:rsidR="00A776FC" w:rsidRPr="009F1DB2" w14:paraId="1C9AB382" w14:textId="77777777" w:rsidTr="00A4692F">
        <w:tc>
          <w:tcPr>
            <w:tcW w:w="6771" w:type="dxa"/>
          </w:tcPr>
          <w:p w14:paraId="7AE4D180" w14:textId="77777777" w:rsidR="00A776FC" w:rsidRDefault="00A776FC" w:rsidP="00A776FC">
            <w:pPr>
              <w:pStyle w:val="BodyText"/>
              <w:ind w:left="426"/>
              <w:rPr>
                <w:rFonts w:ascii="Arial" w:hAnsi="Arial" w:cs="Arial"/>
                <w:szCs w:val="24"/>
              </w:rPr>
            </w:pPr>
          </w:p>
          <w:p w14:paraId="45348161" w14:textId="77A044B7" w:rsidR="00A776FC" w:rsidRPr="009870B8" w:rsidRDefault="00A776FC" w:rsidP="00A30E75">
            <w:pPr>
              <w:pStyle w:val="BodyText"/>
              <w:ind w:left="426"/>
              <w:jc w:val="left"/>
              <w:rPr>
                <w:rFonts w:ascii="Arial" w:hAnsi="Arial" w:cs="Arial"/>
                <w:szCs w:val="24"/>
              </w:rPr>
            </w:pPr>
            <w:r w:rsidRPr="00A776FC">
              <w:rPr>
                <w:rFonts w:ascii="Arial" w:hAnsi="Arial" w:cs="Arial"/>
                <w:szCs w:val="24"/>
              </w:rPr>
              <w:t>Strategic Policy – SP 14: Maintaining and Enhancing the Natural Environment</w:t>
            </w:r>
            <w:r>
              <w:rPr>
                <w:rFonts w:ascii="Arial" w:hAnsi="Arial" w:cs="Arial"/>
                <w:szCs w:val="24"/>
              </w:rPr>
              <w:t>: Reasoned Justification: 1</w:t>
            </w:r>
            <w:r w:rsidRPr="009870B8">
              <w:rPr>
                <w:rFonts w:ascii="Arial" w:hAnsi="Arial" w:cs="Arial"/>
                <w:szCs w:val="24"/>
              </w:rPr>
              <w:t>1.409 In addition, and reflecting the duties placed upon Local Authorities, the Plan has regard to the National Park designation and the purpose for which it is designated, where it may affect the consideration of planning proposals</w:t>
            </w:r>
            <w:r>
              <w:rPr>
                <w:rFonts w:ascii="Arial" w:hAnsi="Arial" w:cs="Arial"/>
                <w:szCs w:val="24"/>
              </w:rPr>
              <w:t xml:space="preserve">. </w:t>
            </w:r>
          </w:p>
          <w:p w14:paraId="0A5432E5" w14:textId="1D5E3704" w:rsidR="00A776FC" w:rsidRDefault="00A776FC" w:rsidP="009870B8">
            <w:pPr>
              <w:pStyle w:val="BodyText"/>
              <w:ind w:left="426"/>
              <w:jc w:val="left"/>
              <w:rPr>
                <w:rFonts w:ascii="Arial" w:hAnsi="Arial" w:cs="Arial"/>
                <w:szCs w:val="24"/>
              </w:rPr>
            </w:pPr>
            <w:r w:rsidRPr="009870B8">
              <w:rPr>
                <w:rFonts w:ascii="Arial" w:hAnsi="Arial" w:cs="Arial"/>
                <w:szCs w:val="24"/>
              </w:rPr>
              <w:lastRenderedPageBreak/>
              <w:t xml:space="preserve">BHE2: Landscape Character Development proposals should relate to the specific landscape and visual characteristics of the local area, ensuring that the overall integrity of landscape character is maintained by: </w:t>
            </w:r>
            <w:r w:rsidR="00FB448F">
              <w:rPr>
                <w:rFonts w:ascii="Arial" w:hAnsi="Arial" w:cs="Arial"/>
                <w:szCs w:val="24"/>
              </w:rPr>
              <w:t>….</w:t>
            </w:r>
            <w:r w:rsidR="00FB448F" w:rsidRPr="009870B8">
              <w:rPr>
                <w:rFonts w:ascii="Arial" w:hAnsi="Arial" w:cs="Arial"/>
                <w:szCs w:val="24"/>
              </w:rPr>
              <w:t xml:space="preserve"> b</w:t>
            </w:r>
            <w:r w:rsidRPr="009870B8">
              <w:rPr>
                <w:rFonts w:ascii="Arial" w:hAnsi="Arial" w:cs="Arial"/>
                <w:szCs w:val="24"/>
              </w:rPr>
              <w:t>) protecting international and national landscape designations including National Parks and Areas of Outstanding Natural Beauty (AONB) and their settings;</w:t>
            </w:r>
          </w:p>
          <w:p w14:paraId="1481B8AC" w14:textId="4F965269" w:rsidR="009870B8" w:rsidRDefault="009870B8" w:rsidP="009870B8">
            <w:pPr>
              <w:pStyle w:val="BodyText"/>
              <w:ind w:left="426"/>
              <w:jc w:val="left"/>
              <w:rPr>
                <w:rFonts w:ascii="Arial" w:hAnsi="Arial" w:cs="Arial"/>
                <w:szCs w:val="24"/>
              </w:rPr>
            </w:pPr>
          </w:p>
          <w:p w14:paraId="54E466C3" w14:textId="77777777" w:rsidR="009870B8" w:rsidRPr="009870B8" w:rsidRDefault="009870B8" w:rsidP="009870B8">
            <w:pPr>
              <w:pStyle w:val="BodyText"/>
              <w:ind w:left="426"/>
              <w:jc w:val="left"/>
              <w:rPr>
                <w:rFonts w:ascii="Arial" w:hAnsi="Arial" w:cs="Arial"/>
                <w:szCs w:val="24"/>
              </w:rPr>
            </w:pPr>
          </w:p>
          <w:p w14:paraId="291C14E5" w14:textId="77777777" w:rsidR="00A776FC" w:rsidRDefault="00A776FC" w:rsidP="00A776FC">
            <w:pPr>
              <w:pStyle w:val="BodyText"/>
              <w:ind w:left="426"/>
              <w:rPr>
                <w:rFonts w:ascii="Arial" w:hAnsi="Arial" w:cs="Arial"/>
                <w:szCs w:val="24"/>
              </w:rPr>
            </w:pPr>
          </w:p>
          <w:p w14:paraId="07CCD3D3" w14:textId="59473C7A" w:rsidR="00A776FC" w:rsidRDefault="00A776FC" w:rsidP="00A776FC">
            <w:pPr>
              <w:pStyle w:val="BodyText"/>
              <w:ind w:left="426"/>
              <w:rPr>
                <w:rFonts w:ascii="Arial" w:hAnsi="Arial" w:cs="Arial"/>
                <w:szCs w:val="24"/>
              </w:rPr>
            </w:pPr>
            <w:r w:rsidRPr="009870B8">
              <w:rPr>
                <w:rFonts w:ascii="Arial" w:hAnsi="Arial" w:cs="Arial"/>
                <w:szCs w:val="24"/>
              </w:rPr>
              <w:t xml:space="preserve">11.456 Carmarthenshire is </w:t>
            </w:r>
            <w:r>
              <w:rPr>
                <w:rFonts w:ascii="Arial" w:hAnsi="Arial" w:cs="Arial"/>
                <w:szCs w:val="24"/>
              </w:rPr>
              <w:t>characteri</w:t>
            </w:r>
            <w:r w:rsidR="009870B8">
              <w:rPr>
                <w:rFonts w:ascii="Arial" w:hAnsi="Arial" w:cs="Arial"/>
                <w:szCs w:val="24"/>
              </w:rPr>
              <w:t>s</w:t>
            </w:r>
            <w:r>
              <w:rPr>
                <w:rFonts w:ascii="Arial" w:hAnsi="Arial" w:cs="Arial"/>
                <w:szCs w:val="24"/>
              </w:rPr>
              <w:t>ed</w:t>
            </w:r>
            <w:r w:rsidRPr="009870B8">
              <w:rPr>
                <w:rFonts w:ascii="Arial" w:hAnsi="Arial" w:cs="Arial"/>
                <w:szCs w:val="24"/>
              </w:rPr>
              <w:t xml:space="preserve"> by diverse and high-quality landscape resources and areas of notable visual value. It also includes or borders a range of landscape designations, including the Brecon Beacons and Pembrokeshire Coast National Parks and Gower AONB.</w:t>
            </w:r>
          </w:p>
          <w:p w14:paraId="1CE7F4E8" w14:textId="09AB20EE" w:rsidR="009870B8" w:rsidRDefault="009870B8" w:rsidP="00A776FC">
            <w:pPr>
              <w:pStyle w:val="BodyText"/>
              <w:ind w:left="426"/>
              <w:rPr>
                <w:rFonts w:ascii="Arial" w:hAnsi="Arial" w:cs="Arial"/>
                <w:szCs w:val="24"/>
              </w:rPr>
            </w:pPr>
          </w:p>
          <w:p w14:paraId="051B0A3B" w14:textId="77777777" w:rsidR="009870B8" w:rsidRPr="009870B8" w:rsidRDefault="009870B8" w:rsidP="00A776FC">
            <w:pPr>
              <w:pStyle w:val="BodyText"/>
              <w:ind w:left="426"/>
              <w:rPr>
                <w:rFonts w:ascii="Arial" w:hAnsi="Arial" w:cs="Arial"/>
                <w:szCs w:val="24"/>
              </w:rPr>
            </w:pPr>
          </w:p>
          <w:p w14:paraId="57E6F84E" w14:textId="77777777" w:rsidR="00A776FC" w:rsidRPr="009870B8" w:rsidRDefault="00A776FC" w:rsidP="00A776FC">
            <w:pPr>
              <w:pStyle w:val="BodyText"/>
              <w:ind w:left="426"/>
              <w:rPr>
                <w:rFonts w:ascii="Arial" w:hAnsi="Arial" w:cs="Arial"/>
                <w:szCs w:val="24"/>
              </w:rPr>
            </w:pPr>
          </w:p>
          <w:p w14:paraId="1E9A0FAB" w14:textId="77777777" w:rsidR="00A776FC" w:rsidRDefault="00A776FC" w:rsidP="00A776FC">
            <w:pPr>
              <w:pStyle w:val="BodyText"/>
              <w:ind w:left="426"/>
              <w:rPr>
                <w:rFonts w:ascii="Arial" w:hAnsi="Arial" w:cs="Arial"/>
                <w:szCs w:val="24"/>
              </w:rPr>
            </w:pPr>
            <w:r w:rsidRPr="00434D20">
              <w:rPr>
                <w:rFonts w:ascii="Arial" w:hAnsi="Arial" w:cs="Arial"/>
                <w:szCs w:val="24"/>
              </w:rPr>
              <w:t>Appendix 2 Regional and Local Strategic Context</w:t>
            </w:r>
            <w:r>
              <w:rPr>
                <w:rFonts w:ascii="Arial" w:hAnsi="Arial" w:cs="Arial"/>
                <w:szCs w:val="24"/>
              </w:rPr>
              <w:t xml:space="preserve">:  </w:t>
            </w:r>
          </w:p>
          <w:p w14:paraId="1FE02CB4" w14:textId="79641CA6" w:rsidR="00A776FC" w:rsidRDefault="00A776FC" w:rsidP="009870B8">
            <w:pPr>
              <w:pStyle w:val="BodyText"/>
              <w:ind w:left="426"/>
              <w:jc w:val="left"/>
              <w:rPr>
                <w:rFonts w:ascii="Arial" w:hAnsi="Arial" w:cs="Arial"/>
                <w:szCs w:val="24"/>
              </w:rPr>
            </w:pPr>
            <w:r w:rsidRPr="009870B8">
              <w:rPr>
                <w:rFonts w:ascii="Arial" w:hAnsi="Arial" w:cs="Arial"/>
                <w:szCs w:val="24"/>
              </w:rPr>
              <w:t>Regional working</w:t>
            </w:r>
            <w:r>
              <w:rPr>
                <w:rFonts w:ascii="Arial" w:hAnsi="Arial" w:cs="Arial"/>
                <w:szCs w:val="24"/>
              </w:rPr>
              <w:t xml:space="preserve">: </w:t>
            </w:r>
            <w:r w:rsidRPr="009870B8">
              <w:rPr>
                <w:rFonts w:ascii="Arial" w:hAnsi="Arial" w:cs="Arial"/>
                <w:szCs w:val="24"/>
              </w:rPr>
              <w:t>Pembrokeshire Coast National Park Authority’s adopted LDP is broadly compatible with a hierarchical settlement structure and a consistency in the broad planning policy approach with Carmarthenshire. Continuing liaison will ensure a mutual understanding of the respective approaches including through regional arrangements and the scope and progress of the Strategic Development Plan. A proactive approach towards regional and sub-regional working is implicit on policy matters, evidence gathering and strategic considerations.</w:t>
            </w:r>
          </w:p>
          <w:p w14:paraId="10ABF462" w14:textId="2FCB129E" w:rsidR="009870B8" w:rsidRDefault="009870B8" w:rsidP="009870B8">
            <w:pPr>
              <w:pStyle w:val="BodyText"/>
              <w:ind w:left="426"/>
              <w:jc w:val="left"/>
              <w:rPr>
                <w:rFonts w:ascii="Arial" w:hAnsi="Arial" w:cs="Arial"/>
                <w:szCs w:val="24"/>
              </w:rPr>
            </w:pPr>
          </w:p>
          <w:p w14:paraId="1C960806" w14:textId="42BE92BD" w:rsidR="009870B8" w:rsidRDefault="009870B8" w:rsidP="009870B8">
            <w:pPr>
              <w:pStyle w:val="BodyText"/>
              <w:ind w:left="426"/>
              <w:jc w:val="left"/>
              <w:rPr>
                <w:rFonts w:ascii="Arial" w:hAnsi="Arial" w:cs="Arial"/>
                <w:szCs w:val="24"/>
              </w:rPr>
            </w:pPr>
          </w:p>
          <w:p w14:paraId="24103E38" w14:textId="1E2FB0DB" w:rsidR="009870B8" w:rsidRDefault="009870B8" w:rsidP="009870B8">
            <w:pPr>
              <w:pStyle w:val="BodyText"/>
              <w:ind w:left="426"/>
              <w:jc w:val="left"/>
              <w:rPr>
                <w:rFonts w:ascii="Arial" w:hAnsi="Arial" w:cs="Arial"/>
                <w:szCs w:val="24"/>
              </w:rPr>
            </w:pPr>
          </w:p>
          <w:p w14:paraId="26A0721D" w14:textId="744690FB" w:rsidR="009870B8" w:rsidRDefault="009870B8" w:rsidP="009870B8">
            <w:pPr>
              <w:pStyle w:val="BodyText"/>
              <w:ind w:left="426"/>
              <w:jc w:val="left"/>
              <w:rPr>
                <w:rFonts w:ascii="Arial" w:hAnsi="Arial" w:cs="Arial"/>
                <w:szCs w:val="24"/>
              </w:rPr>
            </w:pPr>
          </w:p>
          <w:p w14:paraId="5234F434" w14:textId="54895504" w:rsidR="009870B8" w:rsidRDefault="009870B8" w:rsidP="009870B8">
            <w:pPr>
              <w:pStyle w:val="BodyText"/>
              <w:ind w:left="426"/>
              <w:jc w:val="left"/>
              <w:rPr>
                <w:rFonts w:ascii="Arial" w:hAnsi="Arial" w:cs="Arial"/>
                <w:szCs w:val="24"/>
              </w:rPr>
            </w:pPr>
          </w:p>
          <w:p w14:paraId="338F6A66" w14:textId="1FF18CC5" w:rsidR="009870B8" w:rsidRDefault="009870B8" w:rsidP="009870B8">
            <w:pPr>
              <w:pStyle w:val="BodyText"/>
              <w:ind w:left="426"/>
              <w:jc w:val="left"/>
              <w:rPr>
                <w:rFonts w:ascii="Arial" w:hAnsi="Arial" w:cs="Arial"/>
                <w:szCs w:val="24"/>
              </w:rPr>
            </w:pPr>
          </w:p>
          <w:p w14:paraId="10B22082" w14:textId="1C95E4E2" w:rsidR="009870B8" w:rsidRDefault="009870B8" w:rsidP="009870B8">
            <w:pPr>
              <w:pStyle w:val="BodyText"/>
              <w:ind w:left="426"/>
              <w:jc w:val="left"/>
              <w:rPr>
                <w:rFonts w:ascii="Arial" w:hAnsi="Arial" w:cs="Arial"/>
                <w:szCs w:val="24"/>
              </w:rPr>
            </w:pPr>
          </w:p>
          <w:p w14:paraId="3D7A7AC8" w14:textId="1EC52BD7" w:rsidR="009870B8" w:rsidRDefault="009870B8" w:rsidP="009870B8">
            <w:pPr>
              <w:pStyle w:val="BodyText"/>
              <w:ind w:left="426"/>
              <w:jc w:val="left"/>
              <w:rPr>
                <w:rFonts w:ascii="Arial" w:hAnsi="Arial" w:cs="Arial"/>
                <w:szCs w:val="24"/>
              </w:rPr>
            </w:pPr>
          </w:p>
          <w:p w14:paraId="0D2FA123" w14:textId="774580DF" w:rsidR="009870B8" w:rsidRDefault="009870B8" w:rsidP="009870B8">
            <w:pPr>
              <w:pStyle w:val="BodyText"/>
              <w:ind w:left="426"/>
              <w:jc w:val="left"/>
              <w:rPr>
                <w:rFonts w:ascii="Arial" w:hAnsi="Arial" w:cs="Arial"/>
                <w:szCs w:val="24"/>
              </w:rPr>
            </w:pPr>
          </w:p>
          <w:p w14:paraId="65295F26" w14:textId="5A792195" w:rsidR="009870B8" w:rsidRDefault="009870B8" w:rsidP="009870B8">
            <w:pPr>
              <w:pStyle w:val="BodyText"/>
              <w:ind w:left="426"/>
              <w:jc w:val="left"/>
              <w:rPr>
                <w:rFonts w:ascii="Arial" w:hAnsi="Arial" w:cs="Arial"/>
                <w:szCs w:val="24"/>
              </w:rPr>
            </w:pPr>
          </w:p>
          <w:p w14:paraId="740A29C4" w14:textId="44F13FD6" w:rsidR="00A30E75" w:rsidRDefault="00A30E75" w:rsidP="009870B8">
            <w:pPr>
              <w:pStyle w:val="BodyText"/>
              <w:ind w:left="426"/>
              <w:jc w:val="left"/>
              <w:rPr>
                <w:rFonts w:ascii="Arial" w:hAnsi="Arial" w:cs="Arial"/>
                <w:szCs w:val="24"/>
              </w:rPr>
            </w:pPr>
          </w:p>
          <w:p w14:paraId="762AC37D" w14:textId="619A8EF0" w:rsidR="00A30E75" w:rsidRDefault="00A30E75" w:rsidP="009870B8">
            <w:pPr>
              <w:pStyle w:val="BodyText"/>
              <w:ind w:left="426"/>
              <w:jc w:val="left"/>
              <w:rPr>
                <w:rFonts w:ascii="Arial" w:hAnsi="Arial" w:cs="Arial"/>
                <w:szCs w:val="24"/>
              </w:rPr>
            </w:pPr>
          </w:p>
          <w:p w14:paraId="016A8933" w14:textId="6F1E0E3D" w:rsidR="00A30E75" w:rsidRDefault="00A30E75" w:rsidP="009870B8">
            <w:pPr>
              <w:pStyle w:val="BodyText"/>
              <w:ind w:left="426"/>
              <w:jc w:val="left"/>
              <w:rPr>
                <w:rFonts w:ascii="Arial" w:hAnsi="Arial" w:cs="Arial"/>
                <w:szCs w:val="24"/>
              </w:rPr>
            </w:pPr>
          </w:p>
          <w:p w14:paraId="6F153A83" w14:textId="1C729ED1" w:rsidR="00A30E75" w:rsidRDefault="00A30E75" w:rsidP="009870B8">
            <w:pPr>
              <w:pStyle w:val="BodyText"/>
              <w:ind w:left="426"/>
              <w:jc w:val="left"/>
              <w:rPr>
                <w:rFonts w:ascii="Arial" w:hAnsi="Arial" w:cs="Arial"/>
                <w:szCs w:val="24"/>
              </w:rPr>
            </w:pPr>
          </w:p>
          <w:p w14:paraId="744368B4" w14:textId="77777777" w:rsidR="00A30E75" w:rsidRDefault="00A30E75" w:rsidP="009870B8">
            <w:pPr>
              <w:pStyle w:val="BodyText"/>
              <w:ind w:left="426"/>
              <w:jc w:val="left"/>
              <w:rPr>
                <w:rFonts w:ascii="Arial" w:hAnsi="Arial" w:cs="Arial"/>
                <w:szCs w:val="24"/>
              </w:rPr>
            </w:pPr>
          </w:p>
          <w:p w14:paraId="6100D7B5" w14:textId="7C8F39F8" w:rsidR="009870B8" w:rsidRPr="009F1DB2" w:rsidRDefault="009870B8" w:rsidP="009870B8">
            <w:pPr>
              <w:pStyle w:val="BodyText"/>
              <w:ind w:left="426"/>
              <w:jc w:val="left"/>
              <w:rPr>
                <w:rFonts w:ascii="Arial Black" w:hAnsi="Arial Black" w:cs="Arial"/>
                <w:szCs w:val="24"/>
              </w:rPr>
            </w:pPr>
          </w:p>
        </w:tc>
        <w:tc>
          <w:tcPr>
            <w:tcW w:w="3096" w:type="dxa"/>
          </w:tcPr>
          <w:p w14:paraId="78602C91" w14:textId="5FDFF2F0" w:rsidR="00A776FC" w:rsidRPr="009F1DB2" w:rsidRDefault="00A776FC" w:rsidP="00A4692F">
            <w:pPr>
              <w:pStyle w:val="BodyText"/>
              <w:jc w:val="left"/>
              <w:rPr>
                <w:rFonts w:ascii="Arial Black" w:hAnsi="Arial Black" w:cs="Arial"/>
                <w:szCs w:val="24"/>
              </w:rPr>
            </w:pPr>
            <w:r>
              <w:rPr>
                <w:rFonts w:ascii="Arial Black" w:hAnsi="Arial Black" w:cs="Arial"/>
                <w:szCs w:val="24"/>
              </w:rPr>
              <w:lastRenderedPageBreak/>
              <w:t xml:space="preserve">Support </w:t>
            </w:r>
          </w:p>
        </w:tc>
      </w:tr>
      <w:tr w:rsidR="00A80FD7" w:rsidRPr="009F1DB2" w14:paraId="4C64BE60" w14:textId="77777777" w:rsidTr="00A4692F">
        <w:tc>
          <w:tcPr>
            <w:tcW w:w="6771" w:type="dxa"/>
          </w:tcPr>
          <w:p w14:paraId="3ED67516" w14:textId="77777777" w:rsidR="00A80FD7" w:rsidRPr="009F1DB2" w:rsidRDefault="00A80FD7" w:rsidP="00F02149">
            <w:pPr>
              <w:pStyle w:val="BodyText"/>
              <w:ind w:left="426"/>
              <w:rPr>
                <w:rFonts w:ascii="Arial Black" w:hAnsi="Arial Black" w:cs="Arial"/>
                <w:szCs w:val="24"/>
              </w:rPr>
            </w:pPr>
            <w:r w:rsidRPr="009F1DB2">
              <w:rPr>
                <w:rFonts w:ascii="Arial Black" w:hAnsi="Arial Black" w:cs="Arial"/>
                <w:szCs w:val="24"/>
              </w:rPr>
              <w:lastRenderedPageBreak/>
              <w:t xml:space="preserve">Minerals </w:t>
            </w:r>
            <w:r w:rsidR="00F02149">
              <w:rPr>
                <w:rFonts w:ascii="Arial Black" w:hAnsi="Arial Black" w:cs="Arial"/>
                <w:szCs w:val="24"/>
              </w:rPr>
              <w:t xml:space="preserve"> </w:t>
            </w:r>
          </w:p>
        </w:tc>
        <w:tc>
          <w:tcPr>
            <w:tcW w:w="3096" w:type="dxa"/>
          </w:tcPr>
          <w:p w14:paraId="4456AE2D" w14:textId="77777777" w:rsidR="00A80FD7" w:rsidRPr="009F1DB2" w:rsidRDefault="00A80FD7" w:rsidP="00A4692F">
            <w:pPr>
              <w:pStyle w:val="BodyText"/>
              <w:jc w:val="left"/>
              <w:rPr>
                <w:rFonts w:ascii="Arial Black" w:hAnsi="Arial Black" w:cs="Arial"/>
                <w:szCs w:val="24"/>
              </w:rPr>
            </w:pPr>
          </w:p>
        </w:tc>
      </w:tr>
      <w:tr w:rsidR="00A80FD7" w:rsidRPr="009F1DB2" w14:paraId="7AFC09BE" w14:textId="77777777" w:rsidTr="00FB0341">
        <w:trPr>
          <w:trHeight w:val="5757"/>
        </w:trPr>
        <w:tc>
          <w:tcPr>
            <w:tcW w:w="6771" w:type="dxa"/>
          </w:tcPr>
          <w:p w14:paraId="4FE85465" w14:textId="3605D3EF" w:rsidR="00A80FD7" w:rsidRDefault="00A80FD7" w:rsidP="00A4692F">
            <w:pPr>
              <w:pStyle w:val="BodyText"/>
              <w:ind w:left="426"/>
              <w:jc w:val="left"/>
              <w:rPr>
                <w:rFonts w:ascii="Arial" w:hAnsi="Arial" w:cs="Arial"/>
                <w:szCs w:val="24"/>
              </w:rPr>
            </w:pPr>
            <w:r w:rsidRPr="009F1DB2">
              <w:rPr>
                <w:rFonts w:ascii="Arial" w:hAnsi="Arial" w:cs="Arial"/>
                <w:szCs w:val="24"/>
              </w:rPr>
              <w:t>The terrestrial sand and gravel landbank and the apportionment of provision</w:t>
            </w:r>
            <w:r>
              <w:rPr>
                <w:rFonts w:ascii="Arial" w:hAnsi="Arial" w:cs="Arial"/>
                <w:szCs w:val="24"/>
              </w:rPr>
              <w:t xml:space="preserve"> </w:t>
            </w:r>
            <w:r w:rsidRPr="009F1DB2">
              <w:rPr>
                <w:rFonts w:ascii="Arial" w:hAnsi="Arial" w:cs="Arial"/>
                <w:szCs w:val="24"/>
              </w:rPr>
              <w:t>to meet future needs is now considered on a regional basis</w:t>
            </w:r>
            <w:r w:rsidR="000A4428">
              <w:rPr>
                <w:rFonts w:ascii="Arial" w:hAnsi="Arial" w:cs="Arial"/>
                <w:szCs w:val="24"/>
              </w:rPr>
              <w:t xml:space="preserve"> with the RTS Second Review setting out the contribution that each constituent local authority should make towards meeting the demand for aggregates.</w:t>
            </w:r>
            <w:r w:rsidR="009870B8">
              <w:rPr>
                <w:rFonts w:ascii="Arial" w:hAnsi="Arial" w:cs="Arial"/>
                <w:szCs w:val="24"/>
              </w:rPr>
              <w:t xml:space="preserve"> There is no requirement for a landbank to be maintained within National Park (PPW 11)</w:t>
            </w:r>
          </w:p>
          <w:p w14:paraId="1EFA99A2" w14:textId="77777777" w:rsidR="00A80FD7" w:rsidRDefault="00A80FD7" w:rsidP="00A4692F">
            <w:pPr>
              <w:pStyle w:val="BodyText"/>
              <w:ind w:left="426"/>
              <w:jc w:val="left"/>
              <w:rPr>
                <w:rFonts w:ascii="Arial" w:hAnsi="Arial" w:cs="Arial"/>
                <w:szCs w:val="24"/>
              </w:rPr>
            </w:pPr>
          </w:p>
          <w:p w14:paraId="75047106" w14:textId="62D1D923" w:rsidR="00F87D40" w:rsidRDefault="000A4428" w:rsidP="00A4692F">
            <w:pPr>
              <w:pStyle w:val="BodyText"/>
              <w:ind w:left="426"/>
              <w:jc w:val="left"/>
              <w:rPr>
                <w:rFonts w:ascii="Arial" w:hAnsi="Arial" w:cs="Arial"/>
                <w:szCs w:val="24"/>
              </w:rPr>
            </w:pPr>
            <w:r>
              <w:rPr>
                <w:rFonts w:ascii="Arial" w:hAnsi="Arial" w:cs="Arial"/>
                <w:szCs w:val="24"/>
              </w:rPr>
              <w:t xml:space="preserve">Although Carmarthenshire is now in a separate sub-region to Pembrokeshire, previous combined working arrangements with regard to future apportionments and allocations for sand and gravel as suggested in the RTS1 as recommended to continue in RTS2 with the production of a </w:t>
            </w:r>
            <w:r w:rsidR="00AB7CC8">
              <w:rPr>
                <w:rFonts w:ascii="Arial" w:hAnsi="Arial" w:cs="Arial"/>
                <w:szCs w:val="24"/>
              </w:rPr>
              <w:t>Statement</w:t>
            </w:r>
            <w:r>
              <w:rPr>
                <w:rFonts w:ascii="Arial" w:hAnsi="Arial" w:cs="Arial"/>
                <w:szCs w:val="24"/>
              </w:rPr>
              <w:t xml:space="preserve"> of Sub-regional Collaboration between Pembrokeshire, Carmarthenshire and </w:t>
            </w:r>
            <w:r w:rsidR="00AB7CC8">
              <w:rPr>
                <w:rFonts w:ascii="Arial" w:hAnsi="Arial" w:cs="Arial"/>
                <w:szCs w:val="24"/>
              </w:rPr>
              <w:t>Ceredigion</w:t>
            </w:r>
            <w:r>
              <w:rPr>
                <w:rFonts w:ascii="Arial" w:hAnsi="Arial" w:cs="Arial"/>
                <w:szCs w:val="24"/>
              </w:rPr>
              <w:t xml:space="preserve"> to meet the allocation requirement of 3.626 million tonnes.</w:t>
            </w:r>
          </w:p>
          <w:p w14:paraId="2783F31A" w14:textId="0C11E8B1" w:rsidR="00D86EB9" w:rsidRDefault="00D86EB9" w:rsidP="00A4692F">
            <w:pPr>
              <w:pStyle w:val="BodyText"/>
              <w:ind w:left="426"/>
              <w:jc w:val="left"/>
              <w:rPr>
                <w:rFonts w:ascii="Arial" w:hAnsi="Arial" w:cs="Arial"/>
                <w:szCs w:val="24"/>
              </w:rPr>
            </w:pPr>
          </w:p>
          <w:p w14:paraId="080107D6" w14:textId="77777777" w:rsidR="00A80FD7" w:rsidRDefault="00D86EB9" w:rsidP="00FB0341">
            <w:pPr>
              <w:pStyle w:val="BodyText"/>
              <w:ind w:left="426"/>
              <w:jc w:val="left"/>
              <w:rPr>
                <w:rFonts w:ascii="Arial" w:hAnsi="Arial" w:cs="Arial"/>
                <w:szCs w:val="24"/>
              </w:rPr>
            </w:pPr>
            <w:r>
              <w:rPr>
                <w:rFonts w:ascii="Arial" w:hAnsi="Arial" w:cs="Arial"/>
                <w:szCs w:val="24"/>
              </w:rPr>
              <w:t xml:space="preserve">The </w:t>
            </w:r>
            <w:r w:rsidR="00CA1CF6">
              <w:rPr>
                <w:rFonts w:ascii="Arial" w:hAnsi="Arial" w:cs="Arial"/>
                <w:szCs w:val="24"/>
              </w:rPr>
              <w:t>Area of Search for Sand and Gravel is located to the west as shown on the Proposals Map, the northern end of which lies approximately 4.3km south east of the Pembrokeshire Coast National Par</w:t>
            </w:r>
            <w:r w:rsidR="009870B8">
              <w:rPr>
                <w:rFonts w:ascii="Arial" w:hAnsi="Arial" w:cs="Arial"/>
                <w:szCs w:val="24"/>
              </w:rPr>
              <w:t>k</w:t>
            </w:r>
            <w:r w:rsidR="00CA1CF6">
              <w:rPr>
                <w:rFonts w:ascii="Arial" w:hAnsi="Arial" w:cs="Arial"/>
                <w:szCs w:val="24"/>
              </w:rPr>
              <w:t xml:space="preserve">. </w:t>
            </w:r>
          </w:p>
          <w:p w14:paraId="23ED4071" w14:textId="5914A4BF" w:rsidR="00A30E75" w:rsidRPr="009F1DB2" w:rsidRDefault="00A30E75" w:rsidP="00FB0341">
            <w:pPr>
              <w:pStyle w:val="BodyText"/>
              <w:ind w:left="426"/>
              <w:jc w:val="left"/>
              <w:rPr>
                <w:rFonts w:ascii="Arial" w:hAnsi="Arial" w:cs="Arial"/>
                <w:szCs w:val="24"/>
              </w:rPr>
            </w:pPr>
          </w:p>
        </w:tc>
        <w:tc>
          <w:tcPr>
            <w:tcW w:w="3096" w:type="dxa"/>
          </w:tcPr>
          <w:p w14:paraId="0C84DFFA" w14:textId="77777777" w:rsidR="00A46213" w:rsidRDefault="00A80FD7">
            <w:pPr>
              <w:pStyle w:val="BodyText"/>
              <w:jc w:val="left"/>
              <w:rPr>
                <w:rFonts w:ascii="Arial" w:hAnsi="Arial" w:cs="Arial"/>
                <w:szCs w:val="24"/>
              </w:rPr>
            </w:pPr>
            <w:r w:rsidRPr="00284070">
              <w:rPr>
                <w:rFonts w:ascii="Arial Black" w:hAnsi="Arial Black" w:cs="Arial"/>
                <w:szCs w:val="24"/>
              </w:rPr>
              <w:t>Support</w:t>
            </w:r>
            <w:r>
              <w:rPr>
                <w:rFonts w:ascii="Arial" w:hAnsi="Arial" w:cs="Arial"/>
                <w:szCs w:val="24"/>
              </w:rPr>
              <w:t xml:space="preserve"> the compatibility of approach between the two Plans</w:t>
            </w:r>
            <w:r w:rsidR="00FE586D">
              <w:rPr>
                <w:rFonts w:ascii="Arial" w:hAnsi="Arial" w:cs="Arial"/>
                <w:szCs w:val="24"/>
              </w:rPr>
              <w:t>.</w:t>
            </w:r>
            <w:r>
              <w:rPr>
                <w:rFonts w:ascii="Arial" w:hAnsi="Arial" w:cs="Arial"/>
                <w:szCs w:val="24"/>
              </w:rPr>
              <w:t xml:space="preserve"> </w:t>
            </w:r>
          </w:p>
          <w:p w14:paraId="5FCDF34F" w14:textId="2FBDF060" w:rsidR="000A4428" w:rsidRPr="009F1DB2" w:rsidRDefault="009870B8">
            <w:pPr>
              <w:pStyle w:val="BodyText"/>
              <w:jc w:val="left"/>
              <w:rPr>
                <w:rFonts w:ascii="Arial" w:hAnsi="Arial" w:cs="Arial"/>
                <w:szCs w:val="24"/>
              </w:rPr>
            </w:pPr>
            <w:r>
              <w:rPr>
                <w:rFonts w:ascii="Arial" w:hAnsi="Arial" w:cs="Arial"/>
                <w:szCs w:val="24"/>
              </w:rPr>
              <w:t>Support SP</w:t>
            </w:r>
            <w:r w:rsidR="000A4428">
              <w:rPr>
                <w:rFonts w:ascii="Arial" w:hAnsi="Arial" w:cs="Arial"/>
                <w:szCs w:val="24"/>
              </w:rPr>
              <w:t xml:space="preserve"> 18: Mineral Resources.</w:t>
            </w:r>
          </w:p>
        </w:tc>
      </w:tr>
      <w:tr w:rsidR="00A80FD7" w:rsidRPr="009F1DB2" w14:paraId="36ADE270" w14:textId="77777777" w:rsidTr="00A4692F">
        <w:tc>
          <w:tcPr>
            <w:tcW w:w="6771" w:type="dxa"/>
          </w:tcPr>
          <w:p w14:paraId="320EBB61" w14:textId="77777777" w:rsidR="00A80FD7" w:rsidRPr="009F1DB2" w:rsidRDefault="00A80FD7" w:rsidP="00256A2D">
            <w:pPr>
              <w:pStyle w:val="BodyText"/>
              <w:ind w:left="426"/>
              <w:rPr>
                <w:rFonts w:ascii="Arial Black" w:hAnsi="Arial Black" w:cs="Arial"/>
                <w:szCs w:val="24"/>
              </w:rPr>
            </w:pPr>
            <w:r w:rsidRPr="009F1DB2">
              <w:rPr>
                <w:rFonts w:ascii="Arial Black" w:hAnsi="Arial Black" w:cs="Arial"/>
                <w:szCs w:val="24"/>
              </w:rPr>
              <w:t xml:space="preserve">Waste </w:t>
            </w:r>
            <w:r w:rsidR="00256A2D">
              <w:rPr>
                <w:rFonts w:ascii="Arial Black" w:hAnsi="Arial Black" w:cs="Arial"/>
                <w:szCs w:val="24"/>
              </w:rPr>
              <w:t xml:space="preserve"> </w:t>
            </w:r>
          </w:p>
        </w:tc>
        <w:tc>
          <w:tcPr>
            <w:tcW w:w="3096" w:type="dxa"/>
          </w:tcPr>
          <w:p w14:paraId="7A374DBA" w14:textId="77777777" w:rsidR="00A80FD7" w:rsidRPr="009F1DB2" w:rsidRDefault="00A80FD7" w:rsidP="00A4692F">
            <w:pPr>
              <w:pStyle w:val="BodyText"/>
              <w:jc w:val="left"/>
              <w:rPr>
                <w:rFonts w:ascii="Arial Black" w:hAnsi="Arial Black" w:cs="Arial"/>
                <w:szCs w:val="24"/>
              </w:rPr>
            </w:pPr>
          </w:p>
        </w:tc>
      </w:tr>
      <w:tr w:rsidR="00A80FD7" w:rsidRPr="009F1DB2" w14:paraId="3F9AC33E" w14:textId="77777777" w:rsidTr="00A4692F">
        <w:tc>
          <w:tcPr>
            <w:tcW w:w="6771" w:type="dxa"/>
          </w:tcPr>
          <w:p w14:paraId="47D4C4EB" w14:textId="77777777" w:rsidR="00C4130F" w:rsidRDefault="00C4130F" w:rsidP="00986147">
            <w:pPr>
              <w:pStyle w:val="BodyText"/>
              <w:ind w:left="426"/>
              <w:jc w:val="left"/>
              <w:rPr>
                <w:rFonts w:ascii="Arial" w:hAnsi="Arial" w:cs="Arial"/>
                <w:szCs w:val="24"/>
              </w:rPr>
            </w:pPr>
            <w:r>
              <w:rPr>
                <w:rFonts w:ascii="Arial" w:hAnsi="Arial" w:cs="Arial"/>
                <w:szCs w:val="24"/>
              </w:rPr>
              <w:t>Both authorities’ policies on waste management are broadly aligned</w:t>
            </w:r>
            <w:r w:rsidR="00986147">
              <w:rPr>
                <w:rFonts w:ascii="Arial" w:hAnsi="Arial" w:cs="Arial"/>
                <w:szCs w:val="24"/>
              </w:rPr>
              <w:t>. Carmarthenshire acknowledges TAN 21 and the need for collaboration between local planning authorities to progress towards an integrated and adequate network for waste management.</w:t>
            </w:r>
          </w:p>
          <w:p w14:paraId="48934A3B" w14:textId="77777777" w:rsidR="00986147" w:rsidRPr="009F1DB2" w:rsidRDefault="00986147" w:rsidP="00986147">
            <w:pPr>
              <w:pStyle w:val="BodyText"/>
              <w:ind w:left="426"/>
              <w:jc w:val="left"/>
              <w:rPr>
                <w:rFonts w:ascii="Arial" w:hAnsi="Arial" w:cs="Arial"/>
                <w:szCs w:val="24"/>
              </w:rPr>
            </w:pPr>
          </w:p>
        </w:tc>
        <w:tc>
          <w:tcPr>
            <w:tcW w:w="3096" w:type="dxa"/>
          </w:tcPr>
          <w:p w14:paraId="559391A0" w14:textId="77777777" w:rsidR="00C957AB" w:rsidRDefault="00A80FD7" w:rsidP="00986147">
            <w:pPr>
              <w:pStyle w:val="BodyText"/>
              <w:jc w:val="left"/>
              <w:rPr>
                <w:rFonts w:ascii="Arial Black" w:hAnsi="Arial Black" w:cs="Arial"/>
                <w:szCs w:val="24"/>
              </w:rPr>
            </w:pPr>
            <w:r w:rsidRPr="009F1DB2">
              <w:rPr>
                <w:rFonts w:ascii="Arial Black" w:hAnsi="Arial Black" w:cs="Arial"/>
                <w:szCs w:val="24"/>
              </w:rPr>
              <w:t xml:space="preserve">Support </w:t>
            </w:r>
          </w:p>
          <w:p w14:paraId="194678F3" w14:textId="1E891C83" w:rsidR="00C957AB" w:rsidRPr="00C957AB" w:rsidRDefault="00C957AB" w:rsidP="00986147">
            <w:pPr>
              <w:pStyle w:val="BodyText"/>
              <w:jc w:val="left"/>
              <w:rPr>
                <w:rFonts w:ascii="Arial" w:hAnsi="Arial" w:cs="Arial"/>
                <w:szCs w:val="24"/>
              </w:rPr>
            </w:pPr>
            <w:r>
              <w:rPr>
                <w:rFonts w:ascii="Arial" w:hAnsi="Arial" w:cs="Arial"/>
                <w:szCs w:val="24"/>
              </w:rPr>
              <w:t>Support SP 19</w:t>
            </w:r>
            <w:r w:rsidR="00D41403">
              <w:rPr>
                <w:rFonts w:ascii="Arial" w:hAnsi="Arial" w:cs="Arial"/>
                <w:szCs w:val="24"/>
              </w:rPr>
              <w:t xml:space="preserve">: Sustainable </w:t>
            </w:r>
            <w:r>
              <w:rPr>
                <w:rFonts w:ascii="Arial" w:hAnsi="Arial" w:cs="Arial"/>
                <w:szCs w:val="24"/>
              </w:rPr>
              <w:t>Waste Management</w:t>
            </w:r>
          </w:p>
        </w:tc>
      </w:tr>
    </w:tbl>
    <w:p w14:paraId="2F40E782" w14:textId="77777777" w:rsidR="00A80FD7" w:rsidRPr="00B81DF4" w:rsidRDefault="00A80FD7" w:rsidP="00A80FD7">
      <w:pPr>
        <w:pStyle w:val="ListParagraph"/>
        <w:rPr>
          <w:rFonts w:ascii="Arial" w:hAnsi="Arial" w:cs="Arial"/>
        </w:rPr>
      </w:pPr>
    </w:p>
    <w:p w14:paraId="67FE32BA" w14:textId="77777777" w:rsidR="00A80FD7" w:rsidRPr="000E14C7" w:rsidRDefault="00A80FD7" w:rsidP="00A80FD7">
      <w:pPr>
        <w:pBdr>
          <w:top w:val="single" w:sz="4" w:space="1" w:color="auto"/>
          <w:left w:val="single" w:sz="4" w:space="4" w:color="auto"/>
          <w:bottom w:val="single" w:sz="4" w:space="1" w:color="auto"/>
          <w:right w:val="single" w:sz="4" w:space="4" w:color="auto"/>
        </w:pBdr>
        <w:rPr>
          <w:rFonts w:ascii="Arial Black" w:hAnsi="Arial Black"/>
        </w:rPr>
      </w:pPr>
      <w:r w:rsidRPr="000E14C7">
        <w:rPr>
          <w:rFonts w:ascii="Arial Black" w:hAnsi="Arial Black"/>
        </w:rPr>
        <w:t xml:space="preserve">Sustainability Appraisal/Strategic Environmental Appraisal </w:t>
      </w:r>
      <w:r w:rsidR="00F02149">
        <w:rPr>
          <w:rFonts w:ascii="Arial Black" w:hAnsi="Arial Black"/>
        </w:rPr>
        <w:t xml:space="preserve"> </w:t>
      </w:r>
    </w:p>
    <w:p w14:paraId="1DECF4DF" w14:textId="77777777" w:rsidR="00A80FD7" w:rsidRDefault="00A80FD7" w:rsidP="00A80FD7"/>
    <w:tbl>
      <w:tblPr>
        <w:tblStyle w:val="TableGrid"/>
        <w:tblW w:w="9889" w:type="dxa"/>
        <w:tblLook w:val="04A0" w:firstRow="1" w:lastRow="0" w:firstColumn="1" w:lastColumn="0" w:noHBand="0" w:noVBand="1"/>
      </w:tblPr>
      <w:tblGrid>
        <w:gridCol w:w="9889"/>
      </w:tblGrid>
      <w:tr w:rsidR="00A80FD7" w:rsidRPr="000E14C7" w14:paraId="4F24FFD7" w14:textId="77777777" w:rsidTr="00A4692F">
        <w:tc>
          <w:tcPr>
            <w:tcW w:w="9889" w:type="dxa"/>
          </w:tcPr>
          <w:p w14:paraId="3D281957" w14:textId="77777777" w:rsidR="00A80FD7" w:rsidRDefault="00E7692B" w:rsidP="00A4692F">
            <w:pPr>
              <w:rPr>
                <w:rFonts w:ascii="Arial" w:hAnsi="Arial" w:cs="Arial"/>
              </w:rPr>
            </w:pPr>
            <w:r>
              <w:rPr>
                <w:rFonts w:ascii="Arial" w:hAnsi="Arial" w:cs="Arial"/>
              </w:rPr>
              <w:t>Appendix E: Growth Options</w:t>
            </w:r>
          </w:p>
          <w:p w14:paraId="47746A33" w14:textId="3E682353" w:rsidR="00E7692B" w:rsidRDefault="00E7692B" w:rsidP="00A4692F">
            <w:pPr>
              <w:rPr>
                <w:rFonts w:ascii="Arial" w:hAnsi="Arial" w:cs="Arial"/>
              </w:rPr>
            </w:pPr>
            <w:r>
              <w:rPr>
                <w:rFonts w:ascii="Arial" w:hAnsi="Arial" w:cs="Arial"/>
              </w:rPr>
              <w:t>1</w:t>
            </w:r>
            <w:r w:rsidRPr="00E7692B">
              <w:rPr>
                <w:rFonts w:ascii="Arial" w:hAnsi="Arial" w:cs="Arial"/>
                <w:vertAlign w:val="superscript"/>
              </w:rPr>
              <w:t>st</w:t>
            </w:r>
            <w:r>
              <w:rPr>
                <w:rFonts w:ascii="Arial" w:hAnsi="Arial" w:cs="Arial"/>
              </w:rPr>
              <w:t xml:space="preserve"> Deposit LDP </w:t>
            </w:r>
            <w:r w:rsidR="00221A5F">
              <w:rPr>
                <w:rFonts w:ascii="Arial" w:hAnsi="Arial" w:cs="Arial"/>
              </w:rPr>
              <w:t>Preferred</w:t>
            </w:r>
            <w:r>
              <w:rPr>
                <w:rFonts w:ascii="Arial" w:hAnsi="Arial" w:cs="Arial"/>
              </w:rPr>
              <w:t xml:space="preserve"> Growth Option: check shading for ISA3. The appraisal is ‘+/</w:t>
            </w:r>
            <w:r w:rsidR="00FB448F">
              <w:rPr>
                <w:rFonts w:ascii="Arial" w:hAnsi="Arial" w:cs="Arial"/>
              </w:rPr>
              <w:t>-‘and</w:t>
            </w:r>
            <w:r>
              <w:rPr>
                <w:rFonts w:ascii="Arial" w:hAnsi="Arial" w:cs="Arial"/>
              </w:rPr>
              <w:t xml:space="preserve"> the shading is that of minor negative effect rather than the yellow of positive </w:t>
            </w:r>
            <w:r w:rsidR="00221A5F">
              <w:rPr>
                <w:rFonts w:ascii="Arial" w:hAnsi="Arial" w:cs="Arial"/>
              </w:rPr>
              <w:t>and</w:t>
            </w:r>
            <w:r>
              <w:rPr>
                <w:rFonts w:ascii="Arial" w:hAnsi="Arial" w:cs="Arial"/>
              </w:rPr>
              <w:t xml:space="preserve"> negative effect.</w:t>
            </w:r>
          </w:p>
          <w:p w14:paraId="1E5B9E30" w14:textId="77777777" w:rsidR="00E7692B" w:rsidRDefault="00E7692B" w:rsidP="00A4692F">
            <w:pPr>
              <w:rPr>
                <w:rFonts w:ascii="Arial" w:hAnsi="Arial" w:cs="Arial"/>
              </w:rPr>
            </w:pPr>
          </w:p>
          <w:p w14:paraId="21928A9D" w14:textId="77777777" w:rsidR="00E7692B" w:rsidRDefault="00E7692B" w:rsidP="00A4692F">
            <w:pPr>
              <w:rPr>
                <w:rFonts w:ascii="Arial" w:hAnsi="Arial" w:cs="Arial"/>
              </w:rPr>
            </w:pPr>
            <w:r>
              <w:rPr>
                <w:rFonts w:ascii="Arial" w:hAnsi="Arial" w:cs="Arial"/>
              </w:rPr>
              <w:t>Appendix F: ISA Strategic Policies</w:t>
            </w:r>
          </w:p>
          <w:p w14:paraId="1F52D5B9" w14:textId="137157DF" w:rsidR="00E7692B" w:rsidRDefault="00E7692B" w:rsidP="00A4692F">
            <w:pPr>
              <w:rPr>
                <w:rFonts w:ascii="Arial" w:hAnsi="Arial" w:cs="Arial"/>
              </w:rPr>
            </w:pPr>
            <w:r>
              <w:rPr>
                <w:rFonts w:ascii="Arial" w:hAnsi="Arial" w:cs="Arial"/>
              </w:rPr>
              <w:t xml:space="preserve">SP 2: Retail and Town Centres: ISA Objective 1 has a </w:t>
            </w:r>
            <w:r w:rsidR="00221A5F">
              <w:rPr>
                <w:rFonts w:ascii="Arial" w:hAnsi="Arial" w:cs="Arial"/>
              </w:rPr>
              <w:t>positive</w:t>
            </w:r>
            <w:r>
              <w:rPr>
                <w:rFonts w:ascii="Arial" w:hAnsi="Arial" w:cs="Arial"/>
              </w:rPr>
              <w:t xml:space="preserve"> assessment but no commentary</w:t>
            </w:r>
            <w:r w:rsidR="00221A5F">
              <w:rPr>
                <w:rFonts w:ascii="Arial" w:hAnsi="Arial" w:cs="Arial"/>
              </w:rPr>
              <w:t>.</w:t>
            </w:r>
          </w:p>
          <w:p w14:paraId="278991D0" w14:textId="77777777" w:rsidR="00221A5F" w:rsidRDefault="00221A5F" w:rsidP="00A4692F">
            <w:pPr>
              <w:rPr>
                <w:rFonts w:ascii="Arial" w:hAnsi="Arial" w:cs="Arial"/>
              </w:rPr>
            </w:pPr>
          </w:p>
          <w:p w14:paraId="527530E2" w14:textId="77777777" w:rsidR="00221A5F" w:rsidRDefault="00221A5F" w:rsidP="00A4692F">
            <w:pPr>
              <w:rPr>
                <w:rFonts w:ascii="Arial" w:hAnsi="Arial" w:cs="Arial"/>
              </w:rPr>
            </w:pPr>
            <w:r>
              <w:rPr>
                <w:rFonts w:ascii="Arial" w:hAnsi="Arial" w:cs="Arial"/>
              </w:rPr>
              <w:t>SP 10: Gypsy and Traveller Provision: ISA Objective 8 is neutral. Could this be a positive since providing sites sustains Gypsy and Travel</w:t>
            </w:r>
            <w:r w:rsidR="00550714">
              <w:rPr>
                <w:rFonts w:ascii="Arial" w:hAnsi="Arial" w:cs="Arial"/>
              </w:rPr>
              <w:t>l</w:t>
            </w:r>
            <w:r>
              <w:rPr>
                <w:rFonts w:ascii="Arial" w:hAnsi="Arial" w:cs="Arial"/>
              </w:rPr>
              <w:t>er culture?</w:t>
            </w:r>
          </w:p>
          <w:p w14:paraId="267AC6AF" w14:textId="6AAB8E0B" w:rsidR="009870B8" w:rsidRPr="000E14C7" w:rsidRDefault="009870B8" w:rsidP="00A4692F">
            <w:pPr>
              <w:rPr>
                <w:rFonts w:ascii="Arial" w:hAnsi="Arial" w:cs="Arial"/>
              </w:rPr>
            </w:pPr>
          </w:p>
        </w:tc>
      </w:tr>
    </w:tbl>
    <w:p w14:paraId="5977B3E5" w14:textId="74E14130" w:rsidR="00A80FD7" w:rsidRDefault="00A80FD7" w:rsidP="00A80FD7">
      <w:pPr>
        <w:autoSpaceDE w:val="0"/>
        <w:autoSpaceDN w:val="0"/>
        <w:adjustRightInd w:val="0"/>
        <w:rPr>
          <w:rFonts w:ascii="Arial" w:hAnsi="Arial" w:cs="Arial"/>
          <w:b/>
          <w:sz w:val="26"/>
          <w:szCs w:val="26"/>
        </w:rPr>
      </w:pPr>
      <w:r>
        <w:rPr>
          <w:rFonts w:ascii="Arial" w:hAnsi="Arial" w:cs="Arial"/>
          <w:b/>
          <w:sz w:val="26"/>
          <w:szCs w:val="26"/>
        </w:rPr>
        <w:t xml:space="preserve"> </w:t>
      </w:r>
    </w:p>
    <w:p w14:paraId="008ECEA5" w14:textId="77777777" w:rsidR="009870B8" w:rsidRPr="00D5221F" w:rsidRDefault="009870B8" w:rsidP="00A80FD7">
      <w:pPr>
        <w:autoSpaceDE w:val="0"/>
        <w:autoSpaceDN w:val="0"/>
        <w:adjustRightInd w:val="0"/>
        <w:rPr>
          <w:rFonts w:ascii="Arial" w:hAnsi="Arial" w:cs="Arial"/>
          <w:b/>
          <w:sz w:val="26"/>
          <w:szCs w:val="26"/>
        </w:rPr>
      </w:pPr>
    </w:p>
    <w:p w14:paraId="603D3B65" w14:textId="77777777" w:rsidR="00A80FD7" w:rsidRPr="005848F4" w:rsidRDefault="00A80FD7" w:rsidP="00C20A6B">
      <w:pPr>
        <w:pBdr>
          <w:top w:val="single" w:sz="4" w:space="1" w:color="auto"/>
          <w:left w:val="single" w:sz="4" w:space="4" w:color="auto"/>
          <w:bottom w:val="single" w:sz="4" w:space="1" w:color="auto"/>
          <w:right w:val="single" w:sz="4" w:space="31" w:color="auto"/>
        </w:pBdr>
        <w:autoSpaceDE w:val="0"/>
        <w:autoSpaceDN w:val="0"/>
        <w:adjustRightInd w:val="0"/>
        <w:rPr>
          <w:rFonts w:ascii="Arial Black" w:hAnsi="Arial Black" w:cs="Arial"/>
          <w:szCs w:val="24"/>
        </w:rPr>
      </w:pPr>
      <w:r w:rsidRPr="005848F4">
        <w:rPr>
          <w:rFonts w:ascii="Arial Black" w:hAnsi="Arial Black" w:cs="Arial"/>
          <w:szCs w:val="24"/>
        </w:rPr>
        <w:t>Habitats Regulations A</w:t>
      </w:r>
      <w:r w:rsidR="00AA2F9A">
        <w:rPr>
          <w:rFonts w:ascii="Arial Black" w:hAnsi="Arial Black" w:cs="Arial"/>
          <w:szCs w:val="24"/>
        </w:rPr>
        <w:t xml:space="preserve">ssessment </w:t>
      </w:r>
      <w:r w:rsidR="00EF0440">
        <w:rPr>
          <w:rFonts w:ascii="Arial Black" w:hAnsi="Arial Black" w:cs="Arial"/>
          <w:szCs w:val="24"/>
        </w:rPr>
        <w:t xml:space="preserve"> </w:t>
      </w:r>
    </w:p>
    <w:p w14:paraId="281C7E6A" w14:textId="77777777" w:rsidR="00A80FD7" w:rsidRDefault="00A80FD7" w:rsidP="00A80FD7">
      <w:pPr>
        <w:autoSpaceDE w:val="0"/>
        <w:autoSpaceDN w:val="0"/>
        <w:adjustRightInd w:val="0"/>
        <w:rPr>
          <w:rFonts w:ascii="Arial" w:hAnsi="Arial" w:cs="Arial"/>
          <w:bCs/>
          <w:sz w:val="26"/>
          <w:szCs w:val="26"/>
        </w:rPr>
      </w:pPr>
    </w:p>
    <w:tbl>
      <w:tblPr>
        <w:tblStyle w:val="TableGrid"/>
        <w:tblW w:w="9747" w:type="dxa"/>
        <w:tblLook w:val="04A0" w:firstRow="1" w:lastRow="0" w:firstColumn="1" w:lastColumn="0" w:noHBand="0" w:noVBand="1"/>
      </w:tblPr>
      <w:tblGrid>
        <w:gridCol w:w="9747"/>
      </w:tblGrid>
      <w:tr w:rsidR="00A80FD7" w:rsidRPr="005848F4" w14:paraId="01C4205F" w14:textId="77777777" w:rsidTr="00C20A6B">
        <w:tc>
          <w:tcPr>
            <w:tcW w:w="9747" w:type="dxa"/>
          </w:tcPr>
          <w:p w14:paraId="682A717C" w14:textId="77777777" w:rsidR="00667B29" w:rsidRPr="00F87D40" w:rsidRDefault="00A80FD7" w:rsidP="000E77D0">
            <w:pPr>
              <w:autoSpaceDE w:val="0"/>
              <w:autoSpaceDN w:val="0"/>
              <w:adjustRightInd w:val="0"/>
              <w:rPr>
                <w:rFonts w:ascii="Arial" w:hAnsi="Arial" w:cs="Arial"/>
                <w:szCs w:val="24"/>
                <w:lang w:val="en"/>
              </w:rPr>
            </w:pPr>
            <w:r w:rsidRPr="005848F4">
              <w:rPr>
                <w:rFonts w:ascii="Arial Black" w:hAnsi="Arial Black" w:cs="Arial"/>
                <w:bCs/>
                <w:szCs w:val="24"/>
              </w:rPr>
              <w:t>Comments:</w:t>
            </w:r>
            <w:r w:rsidR="00F87D40">
              <w:rPr>
                <w:rFonts w:ascii="Arial Black" w:hAnsi="Arial Black" w:cs="Arial"/>
                <w:bCs/>
                <w:szCs w:val="24"/>
              </w:rPr>
              <w:t xml:space="preserve"> </w:t>
            </w:r>
          </w:p>
          <w:p w14:paraId="3F509F1A" w14:textId="77777777" w:rsidR="00A80FD7" w:rsidRPr="004A0219" w:rsidRDefault="00A80FD7" w:rsidP="004A0219">
            <w:pPr>
              <w:autoSpaceDE w:val="0"/>
              <w:autoSpaceDN w:val="0"/>
              <w:adjustRightInd w:val="0"/>
              <w:rPr>
                <w:rFonts w:ascii="Arial" w:hAnsi="Arial" w:cs="Arial"/>
                <w:bCs/>
                <w:szCs w:val="24"/>
              </w:rPr>
            </w:pPr>
          </w:p>
          <w:p w14:paraId="132F5CD0" w14:textId="54059949" w:rsidR="00EC1433" w:rsidRDefault="00F948DE" w:rsidP="00F948DE">
            <w:pPr>
              <w:autoSpaceDE w:val="0"/>
              <w:autoSpaceDN w:val="0"/>
              <w:adjustRightInd w:val="0"/>
              <w:rPr>
                <w:rFonts w:ascii="Arial" w:hAnsi="Arial" w:cs="Arial"/>
                <w:bCs/>
                <w:szCs w:val="24"/>
              </w:rPr>
            </w:pPr>
            <w:r w:rsidRPr="00F948DE">
              <w:rPr>
                <w:rFonts w:ascii="Arial" w:hAnsi="Arial" w:cs="Arial"/>
                <w:bCs/>
                <w:szCs w:val="24"/>
              </w:rPr>
              <w:t xml:space="preserve">Thank you for considering and incorporating PCNPA’s comments on the Habitat </w:t>
            </w:r>
            <w:r w:rsidR="00FB448F" w:rsidRPr="00F948DE">
              <w:rPr>
                <w:rFonts w:ascii="Arial" w:hAnsi="Arial" w:cs="Arial"/>
                <w:bCs/>
                <w:szCs w:val="24"/>
              </w:rPr>
              <w:t>Regulations Assessment</w:t>
            </w:r>
            <w:r w:rsidRPr="00F948DE">
              <w:rPr>
                <w:rFonts w:ascii="Arial" w:hAnsi="Arial" w:cs="Arial"/>
                <w:bCs/>
                <w:szCs w:val="24"/>
              </w:rPr>
              <w:t xml:space="preserve"> Report (2020)</w:t>
            </w:r>
            <w:r w:rsidR="00E7692B">
              <w:rPr>
                <w:rFonts w:ascii="Arial" w:hAnsi="Arial" w:cs="Arial"/>
                <w:bCs/>
                <w:szCs w:val="24"/>
              </w:rPr>
              <w:t xml:space="preserve"> as detailed in the appendices to the Habitats Regulations Assessment Addendum report.</w:t>
            </w:r>
          </w:p>
          <w:p w14:paraId="0AD2236E" w14:textId="3AA5F0A1" w:rsidR="00E7692B" w:rsidRDefault="00E7692B" w:rsidP="00F948DE">
            <w:pPr>
              <w:autoSpaceDE w:val="0"/>
              <w:autoSpaceDN w:val="0"/>
              <w:adjustRightInd w:val="0"/>
              <w:rPr>
                <w:rFonts w:ascii="Arial" w:hAnsi="Arial" w:cs="Arial"/>
                <w:bCs/>
                <w:szCs w:val="24"/>
              </w:rPr>
            </w:pPr>
          </w:p>
          <w:p w14:paraId="0B0D16C6" w14:textId="3A53BE45" w:rsidR="00E7692B" w:rsidRDefault="00E7692B" w:rsidP="00F948DE">
            <w:pPr>
              <w:autoSpaceDE w:val="0"/>
              <w:autoSpaceDN w:val="0"/>
              <w:adjustRightInd w:val="0"/>
              <w:rPr>
                <w:rFonts w:ascii="Arial" w:hAnsi="Arial" w:cs="Arial"/>
                <w:bCs/>
                <w:szCs w:val="24"/>
              </w:rPr>
            </w:pPr>
            <w:r>
              <w:rPr>
                <w:rFonts w:ascii="Arial" w:hAnsi="Arial" w:cs="Arial"/>
                <w:bCs/>
                <w:szCs w:val="24"/>
              </w:rPr>
              <w:t xml:space="preserve">4.3 Interim action plan – land available for constructed wetlands. </w:t>
            </w:r>
          </w:p>
          <w:p w14:paraId="39B740CC" w14:textId="38B979B5" w:rsidR="00E7692B" w:rsidRDefault="00E7692B" w:rsidP="00F948DE">
            <w:pPr>
              <w:autoSpaceDE w:val="0"/>
              <w:autoSpaceDN w:val="0"/>
              <w:adjustRightInd w:val="0"/>
              <w:rPr>
                <w:rFonts w:ascii="Arial" w:hAnsi="Arial" w:cs="Arial"/>
                <w:bCs/>
                <w:szCs w:val="24"/>
              </w:rPr>
            </w:pPr>
            <w:r>
              <w:rPr>
                <w:rFonts w:ascii="Arial" w:hAnsi="Arial" w:cs="Arial"/>
                <w:bCs/>
                <w:szCs w:val="24"/>
              </w:rPr>
              <w:t>It is suggested that it would be beneficial to include discussion of the identified lands current use (e.g. to eliminate land of existing or other potential nature conservation value from consideration).</w:t>
            </w:r>
          </w:p>
          <w:p w14:paraId="3E7EF018" w14:textId="54EFE28D" w:rsidR="00E7692B" w:rsidRDefault="00E7692B" w:rsidP="00F948DE">
            <w:pPr>
              <w:autoSpaceDE w:val="0"/>
              <w:autoSpaceDN w:val="0"/>
              <w:adjustRightInd w:val="0"/>
              <w:rPr>
                <w:rFonts w:ascii="Arial" w:hAnsi="Arial" w:cs="Arial"/>
                <w:bCs/>
                <w:szCs w:val="24"/>
              </w:rPr>
            </w:pPr>
            <w:r>
              <w:rPr>
                <w:rFonts w:ascii="Arial" w:hAnsi="Arial" w:cs="Arial"/>
                <w:bCs/>
                <w:szCs w:val="24"/>
              </w:rPr>
              <w:t>Other discussion points:</w:t>
            </w:r>
          </w:p>
          <w:p w14:paraId="11D31AAF" w14:textId="47B7D659" w:rsidR="00E7692B" w:rsidRDefault="00E7692B" w:rsidP="00F948DE">
            <w:pPr>
              <w:autoSpaceDE w:val="0"/>
              <w:autoSpaceDN w:val="0"/>
              <w:adjustRightInd w:val="0"/>
              <w:rPr>
                <w:rFonts w:ascii="Arial" w:hAnsi="Arial" w:cs="Arial"/>
                <w:bCs/>
                <w:szCs w:val="24"/>
              </w:rPr>
            </w:pPr>
            <w:r>
              <w:rPr>
                <w:rFonts w:ascii="Arial" w:hAnsi="Arial" w:cs="Arial"/>
                <w:bCs/>
                <w:szCs w:val="24"/>
              </w:rPr>
              <w:t>The long-term use of wetlands as nutrient sinks is not well understood.</w:t>
            </w:r>
          </w:p>
          <w:p w14:paraId="72A6ECF8" w14:textId="0E6FEC0C" w:rsidR="00E7692B" w:rsidRDefault="00E7692B" w:rsidP="00F948DE">
            <w:pPr>
              <w:autoSpaceDE w:val="0"/>
              <w:autoSpaceDN w:val="0"/>
              <w:adjustRightInd w:val="0"/>
              <w:rPr>
                <w:rFonts w:ascii="Arial" w:hAnsi="Arial" w:cs="Arial"/>
                <w:bCs/>
                <w:szCs w:val="24"/>
              </w:rPr>
            </w:pPr>
            <w:r>
              <w:rPr>
                <w:rFonts w:ascii="Arial" w:hAnsi="Arial" w:cs="Arial"/>
                <w:bCs/>
                <w:szCs w:val="24"/>
              </w:rPr>
              <w:t>The ability of wetlands to remove nutrients may be influenced by climate change scenarios, e.g. drying out, flood events.</w:t>
            </w:r>
          </w:p>
          <w:p w14:paraId="76BF469F" w14:textId="23053FCB" w:rsidR="00E7692B" w:rsidRDefault="00E7692B" w:rsidP="00F948DE">
            <w:pPr>
              <w:autoSpaceDE w:val="0"/>
              <w:autoSpaceDN w:val="0"/>
              <w:adjustRightInd w:val="0"/>
              <w:rPr>
                <w:rFonts w:ascii="Arial" w:hAnsi="Arial" w:cs="Arial"/>
                <w:bCs/>
                <w:szCs w:val="24"/>
              </w:rPr>
            </w:pPr>
          </w:p>
          <w:p w14:paraId="1B6D164E" w14:textId="454C9DC2" w:rsidR="00E7692B" w:rsidRPr="00F948DE" w:rsidRDefault="00E7692B" w:rsidP="00F948DE">
            <w:pPr>
              <w:autoSpaceDE w:val="0"/>
              <w:autoSpaceDN w:val="0"/>
              <w:adjustRightInd w:val="0"/>
              <w:rPr>
                <w:rFonts w:ascii="Arial" w:hAnsi="Arial" w:cs="Arial"/>
                <w:bCs/>
                <w:szCs w:val="24"/>
              </w:rPr>
            </w:pPr>
            <w:r w:rsidRPr="00743BDD">
              <w:rPr>
                <w:rFonts w:ascii="Arial" w:hAnsi="Arial" w:cs="Arial"/>
                <w:bCs/>
                <w:szCs w:val="24"/>
              </w:rPr>
              <w:t>Page 8</w:t>
            </w:r>
            <w:r>
              <w:rPr>
                <w:rFonts w:ascii="Arial" w:hAnsi="Arial" w:cs="Arial"/>
                <w:bCs/>
                <w:szCs w:val="24"/>
              </w:rPr>
              <w:t xml:space="preserve"> (PPP) – while not yet adopted, we note that consultation recently (February 2023) closed on Dŵr Cymru Welsh Water’s draft Water Resources Management Plan 2024</w:t>
            </w:r>
          </w:p>
          <w:p w14:paraId="1B085C93" w14:textId="77777777" w:rsidR="002075B1" w:rsidRPr="002075B1" w:rsidRDefault="002075B1" w:rsidP="00CD5763">
            <w:pPr>
              <w:autoSpaceDE w:val="0"/>
              <w:autoSpaceDN w:val="0"/>
              <w:adjustRightInd w:val="0"/>
              <w:rPr>
                <w:rFonts w:ascii="Arial" w:hAnsi="Arial" w:cs="Arial"/>
                <w:b/>
                <w:bCs/>
                <w:szCs w:val="24"/>
              </w:rPr>
            </w:pPr>
            <w:r w:rsidRPr="002075B1">
              <w:rPr>
                <w:rFonts w:ascii="Arial" w:hAnsi="Arial" w:cs="Arial"/>
                <w:b/>
                <w:bCs/>
                <w:szCs w:val="24"/>
              </w:rPr>
              <w:t>Typo</w:t>
            </w:r>
            <w:r w:rsidR="0000175C">
              <w:rPr>
                <w:rFonts w:ascii="Arial" w:hAnsi="Arial" w:cs="Arial"/>
                <w:b/>
                <w:bCs/>
                <w:szCs w:val="24"/>
              </w:rPr>
              <w:t>s</w:t>
            </w:r>
          </w:p>
          <w:p w14:paraId="71D87709" w14:textId="77777777" w:rsidR="00EF37A1" w:rsidRDefault="002075B1" w:rsidP="00E7692B">
            <w:pPr>
              <w:autoSpaceDE w:val="0"/>
              <w:autoSpaceDN w:val="0"/>
              <w:adjustRightInd w:val="0"/>
              <w:rPr>
                <w:rFonts w:ascii="Arial" w:hAnsi="Arial" w:cs="Arial"/>
                <w:bCs/>
                <w:szCs w:val="24"/>
              </w:rPr>
            </w:pPr>
            <w:r>
              <w:rPr>
                <w:rFonts w:ascii="Arial" w:hAnsi="Arial" w:cs="Arial"/>
                <w:bCs/>
                <w:szCs w:val="24"/>
              </w:rPr>
              <w:t>“</w:t>
            </w:r>
            <w:r w:rsidR="00E7692B">
              <w:rPr>
                <w:rFonts w:ascii="Arial" w:hAnsi="Arial" w:cs="Arial"/>
                <w:bCs/>
                <w:szCs w:val="24"/>
              </w:rPr>
              <w:t>3.2.15 ‘screened out screened out’</w:t>
            </w:r>
          </w:p>
          <w:p w14:paraId="5CA3D68F" w14:textId="77777777" w:rsidR="00E7692B" w:rsidRDefault="00E7692B" w:rsidP="00E7692B">
            <w:pPr>
              <w:autoSpaceDE w:val="0"/>
              <w:autoSpaceDN w:val="0"/>
              <w:adjustRightInd w:val="0"/>
              <w:rPr>
                <w:rFonts w:ascii="Arial" w:hAnsi="Arial" w:cs="Arial"/>
                <w:bCs/>
                <w:szCs w:val="24"/>
              </w:rPr>
            </w:pPr>
            <w:r>
              <w:rPr>
                <w:rFonts w:ascii="Arial" w:hAnsi="Arial" w:cs="Arial"/>
                <w:bCs/>
                <w:szCs w:val="24"/>
              </w:rPr>
              <w:t>3.3.2 ‘unlikely to have a significant effects’</w:t>
            </w:r>
          </w:p>
          <w:p w14:paraId="2BD61BAB" w14:textId="77777777" w:rsidR="00E7692B" w:rsidRDefault="00E7692B" w:rsidP="00E7692B">
            <w:pPr>
              <w:autoSpaceDE w:val="0"/>
              <w:autoSpaceDN w:val="0"/>
              <w:adjustRightInd w:val="0"/>
              <w:rPr>
                <w:rFonts w:ascii="Arial" w:hAnsi="Arial" w:cs="Arial"/>
                <w:bCs/>
                <w:szCs w:val="24"/>
              </w:rPr>
            </w:pPr>
            <w:r>
              <w:rPr>
                <w:rFonts w:ascii="Arial" w:hAnsi="Arial" w:cs="Arial"/>
                <w:bCs/>
                <w:szCs w:val="24"/>
              </w:rPr>
              <w:t>4.2.17 ‘there are important’</w:t>
            </w:r>
          </w:p>
          <w:p w14:paraId="2443D5FC" w14:textId="77777777" w:rsidR="00E7692B" w:rsidRDefault="00E7692B" w:rsidP="00E7692B">
            <w:pPr>
              <w:autoSpaceDE w:val="0"/>
              <w:autoSpaceDN w:val="0"/>
              <w:adjustRightInd w:val="0"/>
              <w:rPr>
                <w:rFonts w:ascii="Arial" w:hAnsi="Arial" w:cs="Arial"/>
                <w:bCs/>
                <w:szCs w:val="24"/>
              </w:rPr>
            </w:pPr>
            <w:r>
              <w:rPr>
                <w:rFonts w:ascii="Arial" w:hAnsi="Arial" w:cs="Arial"/>
                <w:bCs/>
                <w:szCs w:val="24"/>
              </w:rPr>
              <w:t>4.2.20 ‘which can demonstrate not cause the failure’</w:t>
            </w:r>
          </w:p>
          <w:p w14:paraId="3369ED5F" w14:textId="14A97DD2" w:rsidR="00E7692B" w:rsidRPr="005848F4" w:rsidRDefault="00E7692B" w:rsidP="00E7692B">
            <w:pPr>
              <w:autoSpaceDE w:val="0"/>
              <w:autoSpaceDN w:val="0"/>
              <w:adjustRightInd w:val="0"/>
              <w:rPr>
                <w:rFonts w:ascii="Arial" w:hAnsi="Arial" w:cs="Arial"/>
                <w:bCs/>
                <w:szCs w:val="24"/>
              </w:rPr>
            </w:pPr>
            <w:r>
              <w:rPr>
                <w:rFonts w:ascii="Arial" w:hAnsi="Arial" w:cs="Arial"/>
                <w:bCs/>
                <w:szCs w:val="24"/>
              </w:rPr>
              <w:t>4.3.1 ‘ready in conjunction’</w:t>
            </w:r>
          </w:p>
        </w:tc>
      </w:tr>
    </w:tbl>
    <w:p w14:paraId="5C1A7B3B" w14:textId="77777777" w:rsidR="00235B51" w:rsidRDefault="00235B51"/>
    <w:sectPr w:rsidR="00235B5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5D6EF" w14:textId="77777777" w:rsidR="00A80FD7" w:rsidRDefault="00A80FD7" w:rsidP="00A80FD7">
      <w:r>
        <w:separator/>
      </w:r>
    </w:p>
  </w:endnote>
  <w:endnote w:type="continuationSeparator" w:id="0">
    <w:p w14:paraId="399BDCCD" w14:textId="77777777" w:rsidR="00A80FD7" w:rsidRDefault="00A80FD7" w:rsidP="00A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739583"/>
      <w:docPartObj>
        <w:docPartGallery w:val="Page Numbers (Bottom of Page)"/>
        <w:docPartUnique/>
      </w:docPartObj>
    </w:sdtPr>
    <w:sdtEndPr>
      <w:rPr>
        <w:noProof/>
      </w:rPr>
    </w:sdtEndPr>
    <w:sdtContent>
      <w:p w14:paraId="63F422C2" w14:textId="77777777" w:rsidR="000A0DC1" w:rsidRDefault="000A0DC1">
        <w:pPr>
          <w:pStyle w:val="Footer"/>
          <w:jc w:val="center"/>
        </w:pPr>
        <w:r>
          <w:fldChar w:fldCharType="begin"/>
        </w:r>
        <w:r>
          <w:instrText xml:space="preserve"> PAGE   \* MERGEFORMAT </w:instrText>
        </w:r>
        <w:r>
          <w:fldChar w:fldCharType="separate"/>
        </w:r>
        <w:r w:rsidR="003B5EC3">
          <w:rPr>
            <w:noProof/>
          </w:rPr>
          <w:t>6</w:t>
        </w:r>
        <w:r>
          <w:rPr>
            <w:noProof/>
          </w:rPr>
          <w:fldChar w:fldCharType="end"/>
        </w:r>
      </w:p>
    </w:sdtContent>
  </w:sdt>
  <w:p w14:paraId="27E6487E" w14:textId="77777777" w:rsidR="000A0DC1" w:rsidRDefault="000A0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D7A57" w14:textId="77777777" w:rsidR="00A80FD7" w:rsidRDefault="00A80FD7" w:rsidP="00A80FD7">
      <w:r>
        <w:separator/>
      </w:r>
    </w:p>
  </w:footnote>
  <w:footnote w:type="continuationSeparator" w:id="0">
    <w:p w14:paraId="729453A6" w14:textId="77777777" w:rsidR="00A80FD7" w:rsidRDefault="00A80FD7" w:rsidP="00A80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52A9F"/>
    <w:multiLevelType w:val="hybridMultilevel"/>
    <w:tmpl w:val="C5BEA6D2"/>
    <w:lvl w:ilvl="0" w:tplc="289E986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2A7F25"/>
    <w:multiLevelType w:val="hybridMultilevel"/>
    <w:tmpl w:val="28A496D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7083212">
    <w:abstractNumId w:val="0"/>
  </w:num>
  <w:num w:numId="2" w16cid:durableId="31303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FD7"/>
    <w:rsid w:val="0000175C"/>
    <w:rsid w:val="00022B86"/>
    <w:rsid w:val="00040687"/>
    <w:rsid w:val="00076625"/>
    <w:rsid w:val="00091B9F"/>
    <w:rsid w:val="000A0DC1"/>
    <w:rsid w:val="000A40CC"/>
    <w:rsid w:val="000A4428"/>
    <w:rsid w:val="000D51A3"/>
    <w:rsid w:val="000E4CE8"/>
    <w:rsid w:val="000E77D0"/>
    <w:rsid w:val="00114BCF"/>
    <w:rsid w:val="00170C44"/>
    <w:rsid w:val="0019061A"/>
    <w:rsid w:val="001B0CF1"/>
    <w:rsid w:val="002075B1"/>
    <w:rsid w:val="00221A5F"/>
    <w:rsid w:val="00235B51"/>
    <w:rsid w:val="002426CF"/>
    <w:rsid w:val="00256A2D"/>
    <w:rsid w:val="0027177D"/>
    <w:rsid w:val="002B06CC"/>
    <w:rsid w:val="002B560E"/>
    <w:rsid w:val="002C05FA"/>
    <w:rsid w:val="003001C1"/>
    <w:rsid w:val="0031260F"/>
    <w:rsid w:val="003379E6"/>
    <w:rsid w:val="00347AB2"/>
    <w:rsid w:val="003608AB"/>
    <w:rsid w:val="003B5EC3"/>
    <w:rsid w:val="00417D7E"/>
    <w:rsid w:val="0042679C"/>
    <w:rsid w:val="00426C7F"/>
    <w:rsid w:val="00432603"/>
    <w:rsid w:val="004864E0"/>
    <w:rsid w:val="004A0219"/>
    <w:rsid w:val="004A71BC"/>
    <w:rsid w:val="004D122D"/>
    <w:rsid w:val="00550714"/>
    <w:rsid w:val="005521E8"/>
    <w:rsid w:val="00594CC6"/>
    <w:rsid w:val="005F0D86"/>
    <w:rsid w:val="00656189"/>
    <w:rsid w:val="00667B29"/>
    <w:rsid w:val="006A1FA2"/>
    <w:rsid w:val="006A3B3F"/>
    <w:rsid w:val="006B3B3C"/>
    <w:rsid w:val="006D559F"/>
    <w:rsid w:val="006D6F3F"/>
    <w:rsid w:val="006E2EB8"/>
    <w:rsid w:val="0072569D"/>
    <w:rsid w:val="00743BDD"/>
    <w:rsid w:val="0075085D"/>
    <w:rsid w:val="00752230"/>
    <w:rsid w:val="00753118"/>
    <w:rsid w:val="00771EE7"/>
    <w:rsid w:val="007C1140"/>
    <w:rsid w:val="007D2856"/>
    <w:rsid w:val="007D4E26"/>
    <w:rsid w:val="007D5EB6"/>
    <w:rsid w:val="00803F05"/>
    <w:rsid w:val="008046B3"/>
    <w:rsid w:val="00822D4E"/>
    <w:rsid w:val="00830FFF"/>
    <w:rsid w:val="008D1112"/>
    <w:rsid w:val="00921AD5"/>
    <w:rsid w:val="009670BB"/>
    <w:rsid w:val="0097745A"/>
    <w:rsid w:val="00985AA3"/>
    <w:rsid w:val="00986147"/>
    <w:rsid w:val="009870B8"/>
    <w:rsid w:val="009942D2"/>
    <w:rsid w:val="009B553C"/>
    <w:rsid w:val="00A12D28"/>
    <w:rsid w:val="00A17F9A"/>
    <w:rsid w:val="00A30E75"/>
    <w:rsid w:val="00A46213"/>
    <w:rsid w:val="00A776FC"/>
    <w:rsid w:val="00A80FD7"/>
    <w:rsid w:val="00AA2F9A"/>
    <w:rsid w:val="00AB2551"/>
    <w:rsid w:val="00AB5774"/>
    <w:rsid w:val="00AB7CC8"/>
    <w:rsid w:val="00AE2E03"/>
    <w:rsid w:val="00B47D18"/>
    <w:rsid w:val="00B55A43"/>
    <w:rsid w:val="00BC4815"/>
    <w:rsid w:val="00BD1C18"/>
    <w:rsid w:val="00BD375C"/>
    <w:rsid w:val="00C10A86"/>
    <w:rsid w:val="00C20A6B"/>
    <w:rsid w:val="00C4130F"/>
    <w:rsid w:val="00C957AB"/>
    <w:rsid w:val="00CA0ED3"/>
    <w:rsid w:val="00CA1CF6"/>
    <w:rsid w:val="00CD5763"/>
    <w:rsid w:val="00CE197F"/>
    <w:rsid w:val="00CE28BC"/>
    <w:rsid w:val="00D34EE1"/>
    <w:rsid w:val="00D36CC6"/>
    <w:rsid w:val="00D41403"/>
    <w:rsid w:val="00D5394D"/>
    <w:rsid w:val="00D768A0"/>
    <w:rsid w:val="00D825DE"/>
    <w:rsid w:val="00D84788"/>
    <w:rsid w:val="00D86EB9"/>
    <w:rsid w:val="00D96D7C"/>
    <w:rsid w:val="00E31D56"/>
    <w:rsid w:val="00E7692B"/>
    <w:rsid w:val="00E90C25"/>
    <w:rsid w:val="00E92C78"/>
    <w:rsid w:val="00EB3010"/>
    <w:rsid w:val="00EC1433"/>
    <w:rsid w:val="00EC6800"/>
    <w:rsid w:val="00ED4670"/>
    <w:rsid w:val="00EF0440"/>
    <w:rsid w:val="00EF37A1"/>
    <w:rsid w:val="00EF7D12"/>
    <w:rsid w:val="00F02149"/>
    <w:rsid w:val="00F04294"/>
    <w:rsid w:val="00F52A0F"/>
    <w:rsid w:val="00F7729D"/>
    <w:rsid w:val="00F87D40"/>
    <w:rsid w:val="00F948DE"/>
    <w:rsid w:val="00FB0341"/>
    <w:rsid w:val="00FB448F"/>
    <w:rsid w:val="00FD4E25"/>
    <w:rsid w:val="00FD65B0"/>
    <w:rsid w:val="00FE5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7AA3"/>
  <w15:docId w15:val="{0532EE78-6CD5-47CA-BDB6-EF75DE5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D7"/>
    <w:pPr>
      <w:spacing w:before="0" w:after="0"/>
      <w:ind w:left="0" w:firstLine="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FD7"/>
    <w:pPr>
      <w:spacing w:before="0" w:after="0"/>
      <w:ind w:left="0" w:firstLine="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Bullet 1,Numbered Para 1,Bullet Points,MAIN CONTENT,List Paragraph12,Bullet Style"/>
    <w:basedOn w:val="Normal"/>
    <w:link w:val="ListParagraphChar"/>
    <w:uiPriority w:val="34"/>
    <w:qFormat/>
    <w:rsid w:val="00A80FD7"/>
    <w:pPr>
      <w:ind w:left="720"/>
      <w:contextualSpacing/>
    </w:pPr>
  </w:style>
  <w:style w:type="paragraph" w:styleId="FootnoteText">
    <w:name w:val="footnote text"/>
    <w:basedOn w:val="Normal"/>
    <w:link w:val="FootnoteTextChar"/>
    <w:uiPriority w:val="99"/>
    <w:semiHidden/>
    <w:unhideWhenUsed/>
    <w:rsid w:val="00A80FD7"/>
    <w:rPr>
      <w:sz w:val="20"/>
    </w:rPr>
  </w:style>
  <w:style w:type="character" w:customStyle="1" w:styleId="FootnoteTextChar">
    <w:name w:val="Footnote Text Char"/>
    <w:basedOn w:val="DefaultParagraphFont"/>
    <w:link w:val="FootnoteText"/>
    <w:uiPriority w:val="99"/>
    <w:semiHidden/>
    <w:rsid w:val="00A80FD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80FD7"/>
    <w:rPr>
      <w:vertAlign w:val="superscript"/>
    </w:r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basedOn w:val="DefaultParagraphFont"/>
    <w:link w:val="ListParagraph"/>
    <w:uiPriority w:val="34"/>
    <w:qFormat/>
    <w:locked/>
    <w:rsid w:val="00A80FD7"/>
    <w:rPr>
      <w:rFonts w:ascii="Times New Roman" w:eastAsia="Times New Roman" w:hAnsi="Times New Roman" w:cs="Times New Roman"/>
      <w:sz w:val="24"/>
      <w:szCs w:val="20"/>
    </w:rPr>
  </w:style>
  <w:style w:type="paragraph" w:styleId="BodyText">
    <w:name w:val="Body Text"/>
    <w:basedOn w:val="Normal"/>
    <w:link w:val="BodyTextChar"/>
    <w:rsid w:val="00A80FD7"/>
    <w:pPr>
      <w:jc w:val="both"/>
    </w:pPr>
  </w:style>
  <w:style w:type="character" w:customStyle="1" w:styleId="BodyTextChar">
    <w:name w:val="Body Text Char"/>
    <w:basedOn w:val="DefaultParagraphFont"/>
    <w:link w:val="BodyText"/>
    <w:rsid w:val="00A80FD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E28BC"/>
    <w:rPr>
      <w:rFonts w:ascii="Tahoma" w:hAnsi="Tahoma" w:cs="Tahoma"/>
      <w:sz w:val="16"/>
      <w:szCs w:val="16"/>
    </w:rPr>
  </w:style>
  <w:style w:type="character" w:customStyle="1" w:styleId="BalloonTextChar">
    <w:name w:val="Balloon Text Char"/>
    <w:basedOn w:val="DefaultParagraphFont"/>
    <w:link w:val="BalloonText"/>
    <w:uiPriority w:val="99"/>
    <w:semiHidden/>
    <w:rsid w:val="00CE28B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B06CC"/>
    <w:rPr>
      <w:sz w:val="16"/>
      <w:szCs w:val="16"/>
    </w:rPr>
  </w:style>
  <w:style w:type="paragraph" w:styleId="CommentText">
    <w:name w:val="annotation text"/>
    <w:basedOn w:val="Normal"/>
    <w:link w:val="CommentTextChar"/>
    <w:uiPriority w:val="99"/>
    <w:unhideWhenUsed/>
    <w:rsid w:val="002B06CC"/>
    <w:rPr>
      <w:sz w:val="20"/>
    </w:rPr>
  </w:style>
  <w:style w:type="character" w:customStyle="1" w:styleId="CommentTextChar">
    <w:name w:val="Comment Text Char"/>
    <w:basedOn w:val="DefaultParagraphFont"/>
    <w:link w:val="CommentText"/>
    <w:uiPriority w:val="99"/>
    <w:rsid w:val="002B06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6CC"/>
    <w:rPr>
      <w:b/>
      <w:bCs/>
    </w:rPr>
  </w:style>
  <w:style w:type="character" w:customStyle="1" w:styleId="CommentSubjectChar">
    <w:name w:val="Comment Subject Char"/>
    <w:basedOn w:val="CommentTextChar"/>
    <w:link w:val="CommentSubject"/>
    <w:uiPriority w:val="99"/>
    <w:semiHidden/>
    <w:rsid w:val="002B06C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A0DC1"/>
    <w:pPr>
      <w:tabs>
        <w:tab w:val="center" w:pos="4513"/>
        <w:tab w:val="right" w:pos="9026"/>
      </w:tabs>
    </w:pPr>
  </w:style>
  <w:style w:type="character" w:customStyle="1" w:styleId="HeaderChar">
    <w:name w:val="Header Char"/>
    <w:basedOn w:val="DefaultParagraphFont"/>
    <w:link w:val="Header"/>
    <w:uiPriority w:val="99"/>
    <w:rsid w:val="000A0DC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A0DC1"/>
    <w:pPr>
      <w:tabs>
        <w:tab w:val="center" w:pos="4513"/>
        <w:tab w:val="right" w:pos="9026"/>
      </w:tabs>
    </w:pPr>
  </w:style>
  <w:style w:type="character" w:customStyle="1" w:styleId="FooterChar">
    <w:name w:val="Footer Char"/>
    <w:basedOn w:val="DefaultParagraphFont"/>
    <w:link w:val="Footer"/>
    <w:uiPriority w:val="99"/>
    <w:rsid w:val="000A0DC1"/>
    <w:rPr>
      <w:rFonts w:ascii="Times New Roman" w:eastAsia="Times New Roman" w:hAnsi="Times New Roman" w:cs="Times New Roman"/>
      <w:sz w:val="24"/>
      <w:szCs w:val="20"/>
    </w:rPr>
  </w:style>
  <w:style w:type="paragraph" w:styleId="Revision">
    <w:name w:val="Revision"/>
    <w:hidden/>
    <w:uiPriority w:val="99"/>
    <w:semiHidden/>
    <w:rsid w:val="00114BCF"/>
    <w:pPr>
      <w:spacing w:before="0" w:after="0"/>
      <w:ind w:left="0" w:firstLine="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DFDC8-F4EB-4505-83FA-795AC3731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6</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Pembrokeshire Coast National Park Authority</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Dunne</dc:creator>
  <cp:lastModifiedBy>Gayle Lister</cp:lastModifiedBy>
  <cp:revision>40</cp:revision>
  <cp:lastPrinted>2020-03-09T11:54:00Z</cp:lastPrinted>
  <dcterms:created xsi:type="dcterms:W3CDTF">2020-01-29T09:32:00Z</dcterms:created>
  <dcterms:modified xsi:type="dcterms:W3CDTF">2023-04-11T07:21:00Z</dcterms:modified>
</cp:coreProperties>
</file>